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D74D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b/>
          <w:bCs/>
          <w:sz w:val="24"/>
          <w:szCs w:val="24"/>
        </w:rPr>
        <w:t>Zarządzenie Nr 26/2022</w:t>
      </w:r>
    </w:p>
    <w:p w14:paraId="6B62590C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6FF046A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b/>
          <w:bCs/>
          <w:sz w:val="24"/>
          <w:szCs w:val="24"/>
        </w:rPr>
        <w:t>z dnia 14 marca 2022 roku</w:t>
      </w:r>
    </w:p>
    <w:p w14:paraId="70593570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640F36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b/>
          <w:bCs/>
          <w:sz w:val="24"/>
          <w:szCs w:val="24"/>
        </w:rPr>
        <w:t xml:space="preserve"> w sprawie dokonania zmian w Wieloletniej Prognozie Finansowej Gminy Jednorożec na lata 2022 – 2029</w:t>
      </w:r>
    </w:p>
    <w:p w14:paraId="7EA85877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B56C2DF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33234">
        <w:rPr>
          <w:rFonts w:ascii="Calibri" w:hAnsi="Calibri" w:cs="Calibri"/>
          <w:color w:val="000000"/>
          <w:sz w:val="24"/>
          <w:szCs w:val="24"/>
        </w:rPr>
        <w:tab/>
        <w:t xml:space="preserve">Na podstawie art. 232 ustawy z dnia 27 sierpnia 2009 roku o finansach publicznych </w:t>
      </w:r>
      <w:r w:rsidRPr="00533234">
        <w:rPr>
          <w:rFonts w:ascii="Calibri" w:hAnsi="Calibri" w:cs="Calibri"/>
          <w:sz w:val="24"/>
          <w:szCs w:val="24"/>
        </w:rPr>
        <w:t>(</w:t>
      </w:r>
      <w:proofErr w:type="spellStart"/>
      <w:r w:rsidRPr="00533234">
        <w:rPr>
          <w:rFonts w:ascii="Calibri" w:hAnsi="Calibri" w:cs="Calibri"/>
          <w:sz w:val="24"/>
          <w:szCs w:val="24"/>
        </w:rPr>
        <w:t>t.j</w:t>
      </w:r>
      <w:proofErr w:type="spellEnd"/>
      <w:r w:rsidRPr="00533234">
        <w:rPr>
          <w:rFonts w:ascii="Calibri" w:hAnsi="Calibri" w:cs="Calibri"/>
          <w:sz w:val="24"/>
          <w:szCs w:val="24"/>
        </w:rPr>
        <w:t xml:space="preserve">. Dz.U. 2021 </w:t>
      </w:r>
      <w:proofErr w:type="spellStart"/>
      <w:r w:rsidRPr="00533234">
        <w:rPr>
          <w:rFonts w:ascii="Calibri" w:hAnsi="Calibri" w:cs="Calibri"/>
          <w:sz w:val="24"/>
          <w:szCs w:val="24"/>
        </w:rPr>
        <w:t>poz</w:t>
      </w:r>
      <w:proofErr w:type="spellEnd"/>
      <w:r w:rsidRPr="00533234">
        <w:rPr>
          <w:rFonts w:ascii="Calibri" w:hAnsi="Calibri" w:cs="Calibri"/>
          <w:color w:val="000000"/>
          <w:sz w:val="24"/>
          <w:szCs w:val="24"/>
        </w:rPr>
        <w:t xml:space="preserve"> 305 z </w:t>
      </w:r>
      <w:proofErr w:type="spellStart"/>
      <w:r w:rsidRPr="00533234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533234">
        <w:rPr>
          <w:rFonts w:ascii="Calibri" w:hAnsi="Calibri" w:cs="Calibri"/>
          <w:color w:val="000000"/>
          <w:sz w:val="24"/>
          <w:szCs w:val="24"/>
        </w:rPr>
        <w:t>. zm.)  zarządzam co następuje:</w:t>
      </w:r>
    </w:p>
    <w:p w14:paraId="6A7E9F61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6B53930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sz w:val="24"/>
          <w:szCs w:val="24"/>
        </w:rPr>
        <w:t>§ 1. Wieloletnią Prognozę Finansową Gminy Jednorożec na lata 2022 -2029 po zmianach określa załącznik Nr 1 do niniejszego zarządzenia.</w:t>
      </w:r>
    </w:p>
    <w:p w14:paraId="415F9DF6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C3BB0B3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sz w:val="24"/>
          <w:szCs w:val="24"/>
        </w:rPr>
        <w:t>§ 2. Wykonanie zarządzenia powierza się Wójtowi Gminy Jednorożec.</w:t>
      </w:r>
    </w:p>
    <w:p w14:paraId="68F67DB2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340F81E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7E7B8AA9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836795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29B871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957D72" w14:textId="1F4F05F5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>Wójt Gminy Jednorożec</w:t>
      </w:r>
    </w:p>
    <w:p w14:paraId="30FA79AC" w14:textId="46494D1F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3234"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33234"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 w:rsidRPr="00533234">
        <w:rPr>
          <w:rFonts w:ascii="Calibri" w:hAnsi="Calibri" w:cs="Calibri"/>
          <w:sz w:val="24"/>
          <w:szCs w:val="24"/>
        </w:rPr>
        <w:t>Iwulski</w:t>
      </w:r>
      <w:proofErr w:type="spellEnd"/>
    </w:p>
    <w:p w14:paraId="141A8DAF" w14:textId="77777777" w:rsidR="00533234" w:rsidRPr="00533234" w:rsidRDefault="00533234" w:rsidP="00533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E8D0DF" w14:textId="4A02D2D4" w:rsidR="005127AB" w:rsidRDefault="005127AB"/>
    <w:p w14:paraId="695EDC44" w14:textId="773500F4" w:rsidR="00B71ED3" w:rsidRDefault="00B71ED3"/>
    <w:p w14:paraId="47729231" w14:textId="115F3DE4" w:rsidR="00B71ED3" w:rsidRDefault="00B71ED3"/>
    <w:p w14:paraId="0DD61060" w14:textId="683EDD5B" w:rsidR="00B71ED3" w:rsidRDefault="00B71ED3"/>
    <w:p w14:paraId="4EBEEBE3" w14:textId="0D6C38A9" w:rsidR="00B71ED3" w:rsidRDefault="00B71ED3"/>
    <w:p w14:paraId="0BC67308" w14:textId="57379FE5" w:rsidR="00B71ED3" w:rsidRDefault="00B71ED3"/>
    <w:p w14:paraId="0BFDF18E" w14:textId="28289480" w:rsidR="00B71ED3" w:rsidRDefault="00B71ED3"/>
    <w:p w14:paraId="37D5CA04" w14:textId="1FB3DB4A" w:rsidR="00B71ED3" w:rsidRDefault="00B71ED3"/>
    <w:p w14:paraId="51F06592" w14:textId="0E757B04" w:rsidR="00B71ED3" w:rsidRDefault="00B71ED3"/>
    <w:p w14:paraId="4BFD0E49" w14:textId="4619EB73" w:rsidR="00B71ED3" w:rsidRDefault="00B71ED3"/>
    <w:p w14:paraId="6B6A67F3" w14:textId="6C22D8ED" w:rsidR="00B71ED3" w:rsidRDefault="00B71ED3"/>
    <w:p w14:paraId="0A91ECCF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71ED3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1B36738E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2FBC476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71ED3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2022 przyjęto: </w:t>
      </w:r>
    </w:p>
    <w:p w14:paraId="5FACAD58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71ED3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42.634.269,39 zł</w:t>
      </w:r>
      <w:r w:rsidRPr="00B71ED3">
        <w:rPr>
          <w:rFonts w:ascii="Calibri" w:hAnsi="Calibri" w:cs="Calibri"/>
          <w:color w:val="000000"/>
          <w:sz w:val="24"/>
          <w:szCs w:val="24"/>
        </w:rPr>
        <w:t>, w tym:</w:t>
      </w:r>
    </w:p>
    <w:p w14:paraId="7E82F7EF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71ED3">
        <w:rPr>
          <w:rFonts w:ascii="Calibri" w:hAnsi="Calibri" w:cs="Calibri"/>
          <w:color w:val="000000"/>
          <w:sz w:val="24"/>
          <w:szCs w:val="24"/>
        </w:rPr>
        <w:t>- dochody bieżące – 34.708.122,37 zł;</w:t>
      </w:r>
    </w:p>
    <w:p w14:paraId="016E8C68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71ED3">
        <w:rPr>
          <w:rFonts w:ascii="Calibri" w:hAnsi="Calibri" w:cs="Calibri"/>
          <w:color w:val="000000"/>
          <w:sz w:val="24"/>
          <w:szCs w:val="24"/>
        </w:rPr>
        <w:t xml:space="preserve"> - dochody majątkowe - 7.926.147,02 zł.</w:t>
      </w:r>
    </w:p>
    <w:p w14:paraId="090D1992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71ED3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43.660.767,19 zł,</w:t>
      </w:r>
      <w:r w:rsidRPr="00B71ED3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569ABAD3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71ED3">
        <w:rPr>
          <w:rFonts w:ascii="Calibri" w:hAnsi="Calibri" w:cs="Calibri"/>
          <w:color w:val="000000"/>
          <w:sz w:val="24"/>
          <w:szCs w:val="24"/>
        </w:rPr>
        <w:t>- wydatki bieżące - 33.970.527,56 zł;</w:t>
      </w:r>
    </w:p>
    <w:p w14:paraId="08FE0C42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71ED3">
        <w:rPr>
          <w:rFonts w:ascii="Calibri" w:hAnsi="Calibri" w:cs="Calibri"/>
          <w:color w:val="000000"/>
          <w:sz w:val="24"/>
          <w:szCs w:val="24"/>
        </w:rPr>
        <w:t>- wydatki majątkowe - 9.690.239,63 zł.</w:t>
      </w:r>
    </w:p>
    <w:p w14:paraId="1528E272" w14:textId="77777777" w:rsidR="00B71ED3" w:rsidRPr="00B71ED3" w:rsidRDefault="00B71ED3" w:rsidP="00B71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B71ED3">
        <w:rPr>
          <w:rFonts w:ascii="Calibri" w:hAnsi="Calibri" w:cs="Calibri"/>
          <w:b/>
          <w:bCs/>
          <w:color w:val="000000"/>
          <w:sz w:val="24"/>
          <w:szCs w:val="24"/>
        </w:rPr>
        <w:t>3. Przychody w kwocie 2.126.497,80 zł</w:t>
      </w:r>
      <w:r w:rsidRPr="00B71ED3">
        <w:rPr>
          <w:rFonts w:ascii="Calibri" w:hAnsi="Calibri" w:cs="Calibri"/>
          <w:color w:val="000000"/>
          <w:sz w:val="24"/>
          <w:szCs w:val="24"/>
        </w:rPr>
        <w:t xml:space="preserve"> - 1.600.000,00 zł emisja obligacji komunalnych</w:t>
      </w:r>
      <w:r w:rsidRPr="00B71ED3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B71ED3">
        <w:rPr>
          <w:rFonts w:ascii="Calibri" w:hAnsi="Calibri" w:cs="Calibri"/>
          <w:color w:val="000000"/>
          <w:sz w:val="24"/>
          <w:szCs w:val="24"/>
        </w:rPr>
        <w:t xml:space="preserve">(planowany wykup 2028 rok - 600.000,00 zł, 2029 rok - 1.000.000,00 zł),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</w:t>
      </w:r>
      <w:proofErr w:type="spellStart"/>
      <w:r w:rsidRPr="00B71ED3">
        <w:rPr>
          <w:rFonts w:ascii="Calibri" w:hAnsi="Calibri" w:cs="Calibri"/>
          <w:color w:val="000000"/>
          <w:sz w:val="24"/>
          <w:szCs w:val="24"/>
        </w:rPr>
        <w:t>przeciwdziałąnia</w:t>
      </w:r>
      <w:proofErr w:type="spellEnd"/>
      <w:r w:rsidRPr="00B71ED3">
        <w:rPr>
          <w:rFonts w:ascii="Calibri" w:hAnsi="Calibri" w:cs="Calibri"/>
          <w:color w:val="000000"/>
          <w:sz w:val="24"/>
          <w:szCs w:val="24"/>
        </w:rPr>
        <w:t xml:space="preserve"> COVID-19 "Laboratoria Przyszłości"), 117.161,49 zł przychody z tytułu rozliczenia środków określonych w art. 5 ust. 1 pkt 2 ustawy i dotacji na realizację programu, projektu lub zadania finansowanego z udziałem tych środków (dochody z tytułu dotacji ERASMUS+), 105.782,95 zł wolne środki, o których mowa w art. 217 ust.2 pkt 6 ustawy.</w:t>
      </w:r>
    </w:p>
    <w:p w14:paraId="5C83F82B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1ED3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B71ED3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4DD471C5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71ED3">
        <w:rPr>
          <w:rFonts w:ascii="Calibri" w:hAnsi="Calibri" w:cs="Calibri"/>
          <w:b/>
          <w:bCs/>
          <w:color w:val="000000"/>
          <w:sz w:val="24"/>
          <w:szCs w:val="24"/>
        </w:rPr>
        <w:t>5. Kwota długu - 7.600.000,00 zł</w:t>
      </w:r>
      <w:r w:rsidRPr="00B71ED3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6A1D7ED6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1ED3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2022 roku 5,17 %, przy dopuszczalnej spłacie 21,53 %</w:t>
      </w:r>
      <w:r w:rsidRPr="00B71E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97C3A5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1ED3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1.026.497,80 zł </w:t>
      </w:r>
      <w:r w:rsidRPr="00B71ED3">
        <w:rPr>
          <w:rFonts w:ascii="Calibri" w:hAnsi="Calibri" w:cs="Calibri"/>
          <w:color w:val="000000"/>
          <w:sz w:val="24"/>
          <w:szCs w:val="24"/>
        </w:rPr>
        <w:t xml:space="preserve">- deficyt budżetu gminy, który zostanie sfinansowany przychodami ze sprzedaży papierów wartościowych wyemitowanymi przez Gminę Jednorożec w kwocie 500.000,00 zł, przychodami z tytułu niewykorzystanych środków pieniężnych na rachunku bieżącym budżetu, wynikających z rozliczenia dochodów i wydatków nimi finansowanych związanych ze szczególnymi zasadami wykonania budżetu określonymi w odrębnych ustawach w kwocie 303.553,36 zł, z rozliczenia środków określonych w art.5 ust. 1 pkt 2 ustawy i dotacji na realizację programu, projektu lub zadania finansowanego z udziałem </w:t>
      </w:r>
      <w:r w:rsidRPr="00B71ED3">
        <w:rPr>
          <w:rFonts w:ascii="Calibri" w:hAnsi="Calibri" w:cs="Calibri"/>
          <w:color w:val="000000"/>
          <w:sz w:val="24"/>
          <w:szCs w:val="24"/>
        </w:rPr>
        <w:lastRenderedPageBreak/>
        <w:t>tych środków w kwocie 117.161,49 zł oraz z wolnych środków, o których mowa w art. 217 ust.2 pkt 6 ustawy w kwocie 105.782,95 zł.</w:t>
      </w:r>
    </w:p>
    <w:p w14:paraId="413933A2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EAB83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869C60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1ED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F29FC45" w14:textId="77777777" w:rsidR="00B71ED3" w:rsidRPr="00B71ED3" w:rsidRDefault="00B71ED3" w:rsidP="00B71E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43217" w14:textId="77777777" w:rsidR="00B71ED3" w:rsidRDefault="00B71ED3"/>
    <w:sectPr w:rsidR="00B71ED3" w:rsidSect="00A2515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F8"/>
    <w:rsid w:val="005127AB"/>
    <w:rsid w:val="00533234"/>
    <w:rsid w:val="00A172F8"/>
    <w:rsid w:val="00B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7AFD"/>
  <w15:chartTrackingRefBased/>
  <w15:docId w15:val="{2877CEB8-CF5C-4262-8B62-95638A1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332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71ED3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2022-03-14T07:20:00Z</dcterms:created>
  <dcterms:modified xsi:type="dcterms:W3CDTF">2022-03-14T07:22:00Z</dcterms:modified>
</cp:coreProperties>
</file>