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65C1" w14:textId="77777777" w:rsidR="00AD6F4F" w:rsidRDefault="00AD6F4F" w:rsidP="00AD6F4F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Uchwała Nr SOK.0007.44.2022 Rady Gminy Jednorożec</w:t>
      </w:r>
      <w:r>
        <w:rPr>
          <w:rFonts w:ascii="Calibri" w:hAnsi="Calibri" w:cs="Calibri"/>
          <w:b/>
          <w:bCs/>
        </w:rPr>
        <w:br/>
        <w:t>z dnia 4 października 2022 roku</w:t>
      </w:r>
      <w:r>
        <w:rPr>
          <w:rFonts w:ascii="Calibri" w:hAnsi="Calibri" w:cs="Calibri"/>
          <w:b/>
          <w:bCs/>
        </w:rPr>
        <w:br/>
        <w:t>zmieniająca uchwałę Nr SOK.0007.84.2021 Rady Gminy Jednorożec z dnia 29 grudnia 2021 roku w sprawie Wieloletniej Prognozy Finansowej Gminy Jednorożec na lata 2022 – 2031</w:t>
      </w:r>
    </w:p>
    <w:p w14:paraId="220F9381" w14:textId="77777777" w:rsidR="00AD6F4F" w:rsidRDefault="00AD6F4F" w:rsidP="00AD6F4F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4A9A6F0A" w14:textId="77777777" w:rsidR="00AD6F4F" w:rsidRDefault="00AD6F4F" w:rsidP="00AD6F4F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Calibri" w:hAnsi="Calibri" w:cs="Calibri"/>
          <w:color w:val="00000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Dz.U. 2022, poz. 1634)  Rada Gminy Jednorożec uchwala, co następuje:</w:t>
      </w:r>
    </w:p>
    <w:p w14:paraId="21A2AECC" w14:textId="77777777" w:rsidR="00AD6F4F" w:rsidRDefault="00AD6F4F" w:rsidP="00AD6F4F">
      <w:pPr>
        <w:pStyle w:val="ZalParagraf"/>
        <w:spacing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1. W uchwale nr SOK.0007.84.2021 Rady Gminy Jednorożec z dnia 29 grudnia 2021 roku  w sprawie Wieloletniej Prognozy Finansowej Gminy Jednorożec na lata 2022-2031 wprowadza się następujące zmiany:</w:t>
      </w:r>
    </w:p>
    <w:p w14:paraId="79188B9E" w14:textId="77777777" w:rsidR="00AD6F4F" w:rsidRDefault="00AD6F4F" w:rsidP="00AD6F4F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2022–2031 otrzymuje brzmienie jak w załączniku Nr 1 do niniejszej uchwały.</w:t>
      </w:r>
    </w:p>
    <w:p w14:paraId="3DB11F7D" w14:textId="77777777" w:rsidR="00AD6F4F" w:rsidRDefault="00AD6F4F" w:rsidP="00AD6F4F">
      <w:pPr>
        <w:pStyle w:val="ZalBT6mm"/>
        <w:spacing w:before="0" w:line="36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Załącznik Nr 2 "Wykaz przedsięwzięć do Wieloletniej Prognozy Finansowej Gminy Jednorożec realizowanych w latach 2022–2025" otrzymuje brzmienie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jak w załączniku Nr 2 do niniejszej uchwały.</w:t>
      </w:r>
    </w:p>
    <w:p w14:paraId="4F11D840" w14:textId="77777777" w:rsidR="00AD6F4F" w:rsidRDefault="00AD6F4F" w:rsidP="00AD6F4F">
      <w:pPr>
        <w:pStyle w:val="ZalBT6mm"/>
        <w:spacing w:before="0" w:line="36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Dołącza się objaśnienia przyjętych wartości w Wieloletniej Prognozie Finansowej Gminy Jednorożec na lata 2022-2031.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AA1E0EB" w14:textId="77777777" w:rsidR="00AD6F4F" w:rsidRDefault="00AD6F4F" w:rsidP="00AD6F4F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2F3E9720" w14:textId="77777777" w:rsidR="00AD6F4F" w:rsidRDefault="00AD6F4F" w:rsidP="00AD6F4F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3. Uchwała wchodzi w życie z dniem podjęcia.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F3874EE" w14:textId="77777777" w:rsidR="00AD6F4F" w:rsidRDefault="00AD6F4F" w:rsidP="00AD6F4F">
      <w:pPr>
        <w:pStyle w:val="Normal"/>
        <w:spacing w:line="360" w:lineRule="auto"/>
        <w:jc w:val="both"/>
        <w:rPr>
          <w:rFonts w:ascii="Calibri" w:hAnsi="Calibri" w:cs="Calibri"/>
        </w:rPr>
      </w:pPr>
    </w:p>
    <w:p w14:paraId="03EA7AD3" w14:textId="77777777" w:rsidR="00AD6F4F" w:rsidRDefault="00AD6F4F" w:rsidP="00AD6F4F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Przewodniczący Rady Gminy Jednorożec</w:t>
      </w:r>
    </w:p>
    <w:p w14:paraId="55769225" w14:textId="77777777" w:rsidR="00AD6F4F" w:rsidRDefault="00AD6F4F" w:rsidP="00AD6F4F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/-/ Cezary Wójcik</w:t>
      </w:r>
    </w:p>
    <w:p w14:paraId="40D176B3" w14:textId="77777777" w:rsidR="00AD6F4F" w:rsidRDefault="00AD6F4F" w:rsidP="00AD6F4F">
      <w:pPr>
        <w:pStyle w:val="Normal"/>
        <w:rPr>
          <w:rFonts w:ascii="Calibri" w:hAnsi="Calibri" w:cs="Calibri"/>
        </w:rPr>
      </w:pPr>
    </w:p>
    <w:p w14:paraId="14061169" w14:textId="4D807D8E" w:rsidR="00615DCC" w:rsidRDefault="00615DCC"/>
    <w:p w14:paraId="555D93A4" w14:textId="01F5D95E" w:rsidR="00C82C35" w:rsidRDefault="00C82C35"/>
    <w:p w14:paraId="4FA09602" w14:textId="5EA7A0AC" w:rsidR="00C82C35" w:rsidRDefault="00C82C35"/>
    <w:p w14:paraId="5FCBBE13" w14:textId="2647C5B5" w:rsidR="00C82C35" w:rsidRDefault="00C82C35"/>
    <w:p w14:paraId="2A786C53" w14:textId="68E06F23" w:rsidR="00C82C35" w:rsidRDefault="00C82C35"/>
    <w:p w14:paraId="05147A65" w14:textId="7DA81EA6" w:rsidR="00C82C35" w:rsidRDefault="00C82C35"/>
    <w:p w14:paraId="12E5761E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82C35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Objaśnienia do Wieloletniej Prognozy Finansowej Gminy Jednorożec </w:t>
      </w:r>
    </w:p>
    <w:p w14:paraId="07F10C08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45674C0C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82C35">
        <w:rPr>
          <w:rFonts w:ascii="Calibri" w:hAnsi="Calibri" w:cs="Calibri"/>
          <w:color w:val="000000"/>
          <w:sz w:val="24"/>
          <w:szCs w:val="24"/>
        </w:rPr>
        <w:tab/>
        <w:t xml:space="preserve">W Wieloletniej Prognozie Finansowej Gminy Jednorożec na rok 2022 przyjęto: </w:t>
      </w:r>
    </w:p>
    <w:p w14:paraId="26DD4A98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82C35">
        <w:rPr>
          <w:rFonts w:ascii="Calibri" w:hAnsi="Calibri" w:cs="Calibri"/>
          <w:b/>
          <w:bCs/>
          <w:color w:val="000000"/>
          <w:sz w:val="24"/>
          <w:szCs w:val="24"/>
        </w:rPr>
        <w:t>1. Dochody ogółem w kwocie 46.289.026,09 zł</w:t>
      </w:r>
      <w:r w:rsidRPr="00C82C35">
        <w:rPr>
          <w:rFonts w:ascii="Calibri" w:hAnsi="Calibri" w:cs="Calibri"/>
          <w:color w:val="000000"/>
          <w:sz w:val="24"/>
          <w:szCs w:val="24"/>
        </w:rPr>
        <w:t>, w tym:</w:t>
      </w:r>
    </w:p>
    <w:p w14:paraId="128361B8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82C35">
        <w:rPr>
          <w:rFonts w:ascii="Calibri" w:hAnsi="Calibri" w:cs="Calibri"/>
          <w:color w:val="000000"/>
          <w:sz w:val="24"/>
          <w:szCs w:val="24"/>
        </w:rPr>
        <w:t>- dochody bieżące –43.639.110,30 zł;</w:t>
      </w:r>
    </w:p>
    <w:p w14:paraId="554881AC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82C35">
        <w:rPr>
          <w:rFonts w:ascii="Calibri" w:hAnsi="Calibri" w:cs="Calibri"/>
          <w:color w:val="000000"/>
          <w:sz w:val="24"/>
          <w:szCs w:val="24"/>
        </w:rPr>
        <w:t xml:space="preserve"> - dochody majątkowe - 2.649.915,79 zł.</w:t>
      </w:r>
    </w:p>
    <w:p w14:paraId="59A3754E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82C35">
        <w:rPr>
          <w:rFonts w:ascii="Calibri" w:hAnsi="Calibri" w:cs="Calibri"/>
          <w:b/>
          <w:bCs/>
          <w:color w:val="000000"/>
          <w:sz w:val="24"/>
          <w:szCs w:val="24"/>
        </w:rPr>
        <w:t xml:space="preserve"> 2. Wydatki ogółem w kwocie 50.523.492,90 zł,</w:t>
      </w:r>
      <w:r w:rsidRPr="00C82C35">
        <w:rPr>
          <w:rFonts w:ascii="Calibri" w:hAnsi="Calibri" w:cs="Calibri"/>
          <w:color w:val="000000"/>
          <w:sz w:val="24"/>
          <w:szCs w:val="24"/>
        </w:rPr>
        <w:t xml:space="preserve"> w tym:</w:t>
      </w:r>
    </w:p>
    <w:p w14:paraId="6ED818A9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82C35">
        <w:rPr>
          <w:rFonts w:ascii="Calibri" w:hAnsi="Calibri" w:cs="Calibri"/>
          <w:color w:val="000000"/>
          <w:sz w:val="24"/>
          <w:szCs w:val="24"/>
        </w:rPr>
        <w:t>- wydatki bieżące - 44.204.751,81 zł;</w:t>
      </w:r>
    </w:p>
    <w:p w14:paraId="7336F7BD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82C35">
        <w:rPr>
          <w:rFonts w:ascii="Calibri" w:hAnsi="Calibri" w:cs="Calibri"/>
          <w:color w:val="000000"/>
          <w:sz w:val="24"/>
          <w:szCs w:val="24"/>
        </w:rPr>
        <w:t>- wydatki majątkowe - 6.318.741,09 zł.</w:t>
      </w:r>
    </w:p>
    <w:p w14:paraId="1ECB00AD" w14:textId="77777777" w:rsidR="00C82C35" w:rsidRPr="00C82C35" w:rsidRDefault="00C82C35" w:rsidP="00C82C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82C35">
        <w:rPr>
          <w:rFonts w:ascii="Calibri" w:hAnsi="Calibri" w:cs="Calibri"/>
          <w:b/>
          <w:bCs/>
          <w:color w:val="000000"/>
          <w:sz w:val="24"/>
          <w:szCs w:val="24"/>
        </w:rPr>
        <w:t>3. Przychody w kwocie 5.334.466,81 zł</w:t>
      </w:r>
      <w:r w:rsidRPr="00C82C35">
        <w:rPr>
          <w:rFonts w:ascii="Calibri" w:hAnsi="Calibri" w:cs="Calibri"/>
          <w:color w:val="000000"/>
          <w:sz w:val="24"/>
          <w:szCs w:val="24"/>
        </w:rPr>
        <w:t xml:space="preserve"> - 3.000.000,00 zł emisja obligacji komunalnych (planowany wykup 2028 rok - 700.000,00 zł, 2029 rok - 1.100.000,00 zł, 2030 rok - 1.200.000,00 zł), przychody z tytułu rozliczenia dochodów i wydatków nimi finansowanych związanych ze szczególnymi zasadami wykonania budżetu określonymi w odrębnych ustawach w kwocie 303.553,36 zł (93.495,93 zł środki Rządowego Funduszu Inwestycji Lokalnych roku 2020, 3.869,57 zł dochody z tytułu opłat za zezwolenia na sprzedaż napojów alkoholowych, 10.587,86 zł opłaty za zezwolenia na sprzedaż napojów alkoholowych w obrocie hurtowym, 195.600,00 zł środki przeciwdziałania COVID-19 "Laboratoria Przyszłości"), 117.161,49 zł przychody z tytułu rozliczenia środków określonych w art. 5 ust. 1 pkt 2 ustawy i dotacji na realizację programu, projektu lub zadania finansowanego z udziałem tych środków (dochody z tytułu dotacji ERASMUS+), 1.913.751,96 zł wolne środki, o których mowa w art. 217 ust.2 pkt 6 ustawy.</w:t>
      </w:r>
    </w:p>
    <w:p w14:paraId="6CE5BFCA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2C35">
        <w:rPr>
          <w:rFonts w:ascii="Calibri" w:hAnsi="Calibri" w:cs="Calibri"/>
          <w:b/>
          <w:bCs/>
          <w:color w:val="000000"/>
          <w:sz w:val="24"/>
          <w:szCs w:val="24"/>
        </w:rPr>
        <w:t xml:space="preserve">4. Rozchody w kwocie 1.100.000,00 zł </w:t>
      </w:r>
      <w:r w:rsidRPr="00C82C35">
        <w:rPr>
          <w:rFonts w:ascii="Calibri" w:hAnsi="Calibri" w:cs="Calibri"/>
          <w:color w:val="000000"/>
          <w:sz w:val="24"/>
          <w:szCs w:val="24"/>
        </w:rPr>
        <w:t>- wykup obligacji komunalnych wyemitowanych w Powszechnej Kasie Oszczędności Bank Polski S.A.</w:t>
      </w:r>
    </w:p>
    <w:p w14:paraId="44FBAB82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82C35">
        <w:rPr>
          <w:rFonts w:ascii="Calibri" w:hAnsi="Calibri" w:cs="Calibri"/>
          <w:b/>
          <w:bCs/>
          <w:color w:val="000000"/>
          <w:sz w:val="24"/>
          <w:szCs w:val="24"/>
        </w:rPr>
        <w:t>5. Kwota długu - 9.000.000,00 zł</w:t>
      </w:r>
      <w:r w:rsidRPr="00C82C35">
        <w:rPr>
          <w:rFonts w:ascii="Calibri" w:hAnsi="Calibri" w:cs="Calibri"/>
          <w:color w:val="000000"/>
          <w:sz w:val="24"/>
          <w:szCs w:val="24"/>
        </w:rPr>
        <w:t xml:space="preserve"> są to obligacje komunalne.</w:t>
      </w:r>
    </w:p>
    <w:p w14:paraId="05EF6F46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C35">
        <w:rPr>
          <w:rFonts w:ascii="Calibri" w:hAnsi="Calibri" w:cs="Calibri"/>
          <w:b/>
          <w:bCs/>
          <w:color w:val="000000"/>
          <w:sz w:val="24"/>
          <w:szCs w:val="24"/>
        </w:rPr>
        <w:t>6. Planowana łączna kwota spłaty zobowiązań w 2022 roku 5,54 %, przy dopuszczalnej spłacie 21,54 %</w:t>
      </w:r>
      <w:r w:rsidRPr="00C82C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8C8A20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C35">
        <w:rPr>
          <w:rFonts w:ascii="Calibri" w:hAnsi="Calibri" w:cs="Calibri"/>
          <w:b/>
          <w:bCs/>
          <w:color w:val="000000"/>
          <w:sz w:val="24"/>
          <w:szCs w:val="24"/>
        </w:rPr>
        <w:t xml:space="preserve">7. Wynik budżetu wynosi 4.234.466,81 zł </w:t>
      </w:r>
      <w:r w:rsidRPr="00C82C35">
        <w:rPr>
          <w:rFonts w:ascii="Calibri" w:hAnsi="Calibri" w:cs="Calibri"/>
          <w:color w:val="000000"/>
          <w:sz w:val="24"/>
          <w:szCs w:val="24"/>
        </w:rPr>
        <w:t xml:space="preserve">- deficyt budżetu gminy, który zostanie sfinansowany przychodami ze sprzedaży papierów wartościowych wyemitowanymi przez Gminę Jednorożec w kwocie 1.900.000,00 zł, przychodami z tytułu niewykorzystanych środków pieniężnych na rachunku bieżącym budżetu, wynikających z rozliczenia dochodów i wydatków nimi finansowanych związanych ze szczególnymi zasadami wykonania budżetu określonymi w odrębnych ustawach w kwocie 303.553,36 zł, z rozliczenia środków </w:t>
      </w:r>
      <w:r w:rsidRPr="00C82C35">
        <w:rPr>
          <w:rFonts w:ascii="Calibri" w:hAnsi="Calibri" w:cs="Calibri"/>
          <w:color w:val="000000"/>
          <w:sz w:val="24"/>
          <w:szCs w:val="24"/>
        </w:rPr>
        <w:lastRenderedPageBreak/>
        <w:t>określonych w art.5 ust. 1 pkt 2 ustawy i dotacji na realizację programu, projektu lub zadania finansowanego z udziałem tych środków w kwocie 117.161,49 zł oraz z wolnych środków, o których mowa w art. 217 ust.2 pkt 6 ustawy w kwocie 1.913.751,96 zł.</w:t>
      </w:r>
    </w:p>
    <w:p w14:paraId="239BC239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6BAF5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C82C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82C35">
        <w:rPr>
          <w:rFonts w:ascii="Calibri" w:hAnsi="Calibri" w:cs="Calibri"/>
          <w:b/>
          <w:bCs/>
          <w:color w:val="000000"/>
          <w:sz w:val="24"/>
          <w:szCs w:val="24"/>
        </w:rPr>
        <w:t>PRZEDSIĘWZIĘCIA ROK 2022</w:t>
      </w:r>
    </w:p>
    <w:p w14:paraId="4AEF0FF6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0442ABB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82C35">
        <w:rPr>
          <w:rFonts w:ascii="Calibri" w:hAnsi="Calibri" w:cs="Calibri"/>
          <w:color w:val="000000"/>
          <w:sz w:val="24"/>
          <w:szCs w:val="24"/>
        </w:rPr>
        <w:t>I. WYDATKI MAJĄTKOWE</w:t>
      </w:r>
    </w:p>
    <w:p w14:paraId="62282405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C82C35">
        <w:rPr>
          <w:rFonts w:ascii="Calibri" w:hAnsi="Calibri" w:cs="Calibri"/>
          <w:color w:val="000000"/>
          <w:sz w:val="24"/>
          <w:szCs w:val="24"/>
        </w:rPr>
        <w:t>-</w:t>
      </w:r>
      <w:r w:rsidRPr="00C82C35">
        <w:rPr>
          <w:rFonts w:ascii="Calibri" w:hAnsi="Calibri" w:cs="Calibri"/>
          <w:b/>
          <w:bCs/>
          <w:color w:val="000000"/>
          <w:sz w:val="24"/>
          <w:szCs w:val="24"/>
        </w:rPr>
        <w:t>„Budowa instalacji fotowoltaicznej zasilającej oczyszczalnię ścieków w Jednorożcu”</w:t>
      </w:r>
      <w:r w:rsidRPr="00C82C35">
        <w:rPr>
          <w:rFonts w:ascii="Calibri" w:hAnsi="Calibri" w:cs="Calibri"/>
          <w:color w:val="000000"/>
          <w:sz w:val="24"/>
          <w:szCs w:val="24"/>
        </w:rPr>
        <w:t xml:space="preserve"> - zwiększa się limit wydatków na 2022 rok w kwocie 37.000,00 zł.</w:t>
      </w:r>
    </w:p>
    <w:p w14:paraId="38FAB6B9" w14:textId="77777777" w:rsidR="00C82C35" w:rsidRPr="00C82C35" w:rsidRDefault="00C82C35" w:rsidP="00C82C3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35ACBBB8" w14:textId="77777777" w:rsidR="00C82C35" w:rsidRDefault="00C82C35"/>
    <w:sectPr w:rsidR="00C82C35" w:rsidSect="009D521A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6D"/>
    <w:rsid w:val="00615DCC"/>
    <w:rsid w:val="00AD6F4F"/>
    <w:rsid w:val="00C82C35"/>
    <w:rsid w:val="00D6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7883"/>
  <w15:chartTrackingRefBased/>
  <w15:docId w15:val="{D10A9074-F6E3-4EE2-92EC-CDDAA78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AD6F4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AD6F4F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AD6F4F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AD6F4F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C82C35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2022-10-04T10:16:00Z</dcterms:created>
  <dcterms:modified xsi:type="dcterms:W3CDTF">2022-10-04T10:19:00Z</dcterms:modified>
</cp:coreProperties>
</file>