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316C" w14:textId="77777777" w:rsidR="0098377B" w:rsidRDefault="0098377B" w:rsidP="0098377B">
      <w:pPr>
        <w:pStyle w:val="Normal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Uchwała Nr SOK.0007.64.2022 Rady Gminy Jednorożec</w:t>
      </w:r>
      <w:r>
        <w:rPr>
          <w:rFonts w:ascii="Calibri" w:hAnsi="Calibri" w:cs="Calibri"/>
          <w:b/>
          <w:bCs/>
          <w:sz w:val="20"/>
          <w:szCs w:val="20"/>
        </w:rPr>
        <w:br/>
        <w:t>z dnia 29 grudnia 2022 roku</w:t>
      </w:r>
      <w:r>
        <w:rPr>
          <w:rFonts w:ascii="Calibri" w:hAnsi="Calibri" w:cs="Calibri"/>
          <w:b/>
          <w:bCs/>
          <w:sz w:val="20"/>
          <w:szCs w:val="20"/>
        </w:rPr>
        <w:br/>
        <w:t>zmieniająca uchwałę Nr SOK.0007.84.2021 Rady Gminy Jednorożec z dnia 29 grudnia 2021 roku w sprawie Wieloletniej Prognozy Finansowej Gminy Jednorożec na lata 2022 – 2033</w:t>
      </w:r>
    </w:p>
    <w:p w14:paraId="7877FA09" w14:textId="77777777" w:rsidR="0098377B" w:rsidRDefault="0098377B" w:rsidP="0098377B">
      <w:pPr>
        <w:pStyle w:val="Normal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C02A80" w14:textId="77777777" w:rsidR="0098377B" w:rsidRDefault="0098377B" w:rsidP="0098377B">
      <w:pPr>
        <w:pStyle w:val="ZalBT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Calibri" w:hAnsi="Calibri" w:cs="Calibri"/>
          <w:color w:val="000000"/>
          <w:sz w:val="20"/>
          <w:szCs w:val="20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Dz.U. 2022 r., poz. 1634 z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późn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zm.)  Rada Gminy Jednorożec uchwala, co następuje:</w:t>
      </w:r>
    </w:p>
    <w:p w14:paraId="402B3476" w14:textId="77777777" w:rsidR="0098377B" w:rsidRDefault="0098377B" w:rsidP="0098377B">
      <w:pPr>
        <w:pStyle w:val="ZalParagraf"/>
        <w:spacing w:line="360" w:lineRule="auto"/>
        <w:jc w:val="both"/>
        <w:rPr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§ 1. W uchwale nr SOK.0007.84.2021 Rady Gminy Jednorożec z dnia 29 grudnia 2021 roku  w sprawie Wieloletniej Prognozy Finansowej Gminy Jednorożec na lata 2022-2033 wprowadza się następujące zmiany:</w:t>
      </w:r>
    </w:p>
    <w:p w14:paraId="5488630A" w14:textId="77777777" w:rsidR="0098377B" w:rsidRDefault="0098377B" w:rsidP="0098377B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1. Załącznik Nr 1 "Wieloletnia Prognoza Finansowa Gminy Jednorożec na lata 2022–2033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otrzymuje brzmienie jak w załączniku Nr 1 do niniejszej uchwały.</w:t>
      </w:r>
    </w:p>
    <w:p w14:paraId="0F4C5E1D" w14:textId="77777777" w:rsidR="0098377B" w:rsidRDefault="0098377B" w:rsidP="0098377B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Dołącza się objaśnienia przyjętych wartości w Wieloletniej Prognozie Finansowej Gminy Jednorożec na lata 2022-2033.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FC32C17" w14:textId="77777777" w:rsidR="0098377B" w:rsidRDefault="0098377B" w:rsidP="0098377B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7D7F58FA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9855AF2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BFEAD96" w14:textId="358142C1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Przewodniczący Rady Gminy Jednorożec</w:t>
      </w:r>
    </w:p>
    <w:p w14:paraId="64562BC1" w14:textId="6071F413" w:rsidR="0098377B" w:rsidRDefault="0098377B" w:rsidP="0098377B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/-/ Cezary Wójcik</w:t>
      </w:r>
    </w:p>
    <w:p w14:paraId="0EAD79D0" w14:textId="3026CC2C" w:rsidR="0098377B" w:rsidRDefault="0098377B" w:rsidP="0098377B">
      <w:pPr>
        <w:pStyle w:val="Normal"/>
        <w:rPr>
          <w:rFonts w:ascii="Calibri" w:hAnsi="Calibri" w:cs="Calibri"/>
        </w:rPr>
      </w:pPr>
    </w:p>
    <w:p w14:paraId="5B7382E2" w14:textId="7970FC34" w:rsidR="0098377B" w:rsidRDefault="0098377B" w:rsidP="0098377B">
      <w:pPr>
        <w:pStyle w:val="Normal"/>
        <w:rPr>
          <w:rFonts w:ascii="Calibri" w:hAnsi="Calibri" w:cs="Calibri"/>
        </w:rPr>
      </w:pPr>
    </w:p>
    <w:p w14:paraId="7E884A80" w14:textId="4D9F1B31" w:rsidR="0098377B" w:rsidRDefault="0098377B" w:rsidP="0098377B">
      <w:pPr>
        <w:pStyle w:val="Normal"/>
        <w:rPr>
          <w:rFonts w:ascii="Calibri" w:hAnsi="Calibri" w:cs="Calibri"/>
        </w:rPr>
      </w:pPr>
    </w:p>
    <w:p w14:paraId="6BE30908" w14:textId="7FDE56C3" w:rsidR="0098377B" w:rsidRDefault="0098377B" w:rsidP="0098377B">
      <w:pPr>
        <w:pStyle w:val="Normal"/>
        <w:rPr>
          <w:rFonts w:ascii="Calibri" w:hAnsi="Calibri" w:cs="Calibri"/>
        </w:rPr>
      </w:pPr>
    </w:p>
    <w:p w14:paraId="0FB3758C" w14:textId="72B13554" w:rsidR="0098377B" w:rsidRDefault="0098377B" w:rsidP="0098377B">
      <w:pPr>
        <w:pStyle w:val="Normal"/>
        <w:rPr>
          <w:rFonts w:ascii="Calibri" w:hAnsi="Calibri" w:cs="Calibri"/>
        </w:rPr>
      </w:pPr>
    </w:p>
    <w:p w14:paraId="1357BD92" w14:textId="28104CCD" w:rsidR="0098377B" w:rsidRDefault="0098377B" w:rsidP="0098377B">
      <w:pPr>
        <w:pStyle w:val="Normal"/>
        <w:rPr>
          <w:rFonts w:ascii="Calibri" w:hAnsi="Calibri" w:cs="Calibri"/>
        </w:rPr>
      </w:pPr>
    </w:p>
    <w:p w14:paraId="145F283F" w14:textId="2197AF36" w:rsidR="0098377B" w:rsidRDefault="0098377B" w:rsidP="0098377B">
      <w:pPr>
        <w:pStyle w:val="Normal"/>
        <w:rPr>
          <w:rFonts w:ascii="Calibri" w:hAnsi="Calibri" w:cs="Calibri"/>
        </w:rPr>
      </w:pPr>
    </w:p>
    <w:p w14:paraId="5329788B" w14:textId="790242BC" w:rsidR="0098377B" w:rsidRDefault="0098377B" w:rsidP="0098377B">
      <w:pPr>
        <w:pStyle w:val="Normal"/>
        <w:rPr>
          <w:rFonts w:ascii="Calibri" w:hAnsi="Calibri" w:cs="Calibri"/>
        </w:rPr>
      </w:pPr>
    </w:p>
    <w:p w14:paraId="66C7291F" w14:textId="018169CD" w:rsidR="0098377B" w:rsidRDefault="0098377B" w:rsidP="0098377B">
      <w:pPr>
        <w:pStyle w:val="Normal"/>
        <w:rPr>
          <w:rFonts w:ascii="Calibri" w:hAnsi="Calibri" w:cs="Calibri"/>
        </w:rPr>
      </w:pPr>
    </w:p>
    <w:p w14:paraId="5CC48149" w14:textId="79A0C6FA" w:rsidR="0098377B" w:rsidRDefault="0098377B" w:rsidP="0098377B">
      <w:pPr>
        <w:pStyle w:val="Normal"/>
        <w:rPr>
          <w:rFonts w:ascii="Calibri" w:hAnsi="Calibri" w:cs="Calibri"/>
        </w:rPr>
      </w:pPr>
    </w:p>
    <w:p w14:paraId="27FE5AFC" w14:textId="63F53A41" w:rsidR="0098377B" w:rsidRDefault="0098377B" w:rsidP="0098377B">
      <w:pPr>
        <w:pStyle w:val="Normal"/>
        <w:rPr>
          <w:rFonts w:ascii="Calibri" w:hAnsi="Calibri" w:cs="Calibri"/>
        </w:rPr>
      </w:pPr>
    </w:p>
    <w:p w14:paraId="51C8BF1B" w14:textId="1D585371" w:rsidR="0098377B" w:rsidRDefault="0098377B" w:rsidP="0098377B">
      <w:pPr>
        <w:pStyle w:val="Normal"/>
        <w:rPr>
          <w:rFonts w:ascii="Calibri" w:hAnsi="Calibri" w:cs="Calibri"/>
        </w:rPr>
      </w:pPr>
    </w:p>
    <w:p w14:paraId="6085C75A" w14:textId="073DB578" w:rsidR="0098377B" w:rsidRDefault="0098377B" w:rsidP="0098377B">
      <w:pPr>
        <w:pStyle w:val="Normal"/>
        <w:rPr>
          <w:rFonts w:ascii="Calibri" w:hAnsi="Calibri" w:cs="Calibri"/>
        </w:rPr>
      </w:pPr>
    </w:p>
    <w:p w14:paraId="6567740A" w14:textId="4CDB8D5B" w:rsidR="0098377B" w:rsidRDefault="0098377B" w:rsidP="0098377B">
      <w:pPr>
        <w:pStyle w:val="Normal"/>
        <w:rPr>
          <w:rFonts w:ascii="Calibri" w:hAnsi="Calibri" w:cs="Calibri"/>
        </w:rPr>
      </w:pPr>
    </w:p>
    <w:p w14:paraId="1DCAC137" w14:textId="066316B4" w:rsidR="0098377B" w:rsidRDefault="0098377B" w:rsidP="0098377B">
      <w:pPr>
        <w:pStyle w:val="Normal"/>
        <w:rPr>
          <w:rFonts w:ascii="Calibri" w:hAnsi="Calibri" w:cs="Calibri"/>
        </w:rPr>
      </w:pPr>
    </w:p>
    <w:p w14:paraId="226AA1F4" w14:textId="6FD3C7B5" w:rsidR="0098377B" w:rsidRDefault="0098377B" w:rsidP="0098377B">
      <w:pPr>
        <w:pStyle w:val="Normal"/>
        <w:rPr>
          <w:rFonts w:ascii="Calibri" w:hAnsi="Calibri" w:cs="Calibri"/>
        </w:rPr>
      </w:pPr>
    </w:p>
    <w:p w14:paraId="2AA16231" w14:textId="0C40B9F6" w:rsidR="0098377B" w:rsidRDefault="0098377B" w:rsidP="0098377B">
      <w:pPr>
        <w:pStyle w:val="Normal"/>
        <w:rPr>
          <w:rFonts w:ascii="Calibri" w:hAnsi="Calibri" w:cs="Calibri"/>
        </w:rPr>
      </w:pPr>
    </w:p>
    <w:p w14:paraId="2A2AC2C6" w14:textId="457EE671" w:rsidR="0098377B" w:rsidRDefault="0098377B" w:rsidP="0098377B">
      <w:pPr>
        <w:pStyle w:val="Normal"/>
        <w:rPr>
          <w:rFonts w:ascii="Calibri" w:hAnsi="Calibri" w:cs="Calibri"/>
        </w:rPr>
      </w:pPr>
    </w:p>
    <w:p w14:paraId="305B65F4" w14:textId="3D630082" w:rsidR="0098377B" w:rsidRDefault="0098377B" w:rsidP="0098377B">
      <w:pPr>
        <w:pStyle w:val="Normal"/>
        <w:rPr>
          <w:rFonts w:ascii="Calibri" w:hAnsi="Calibri" w:cs="Calibri"/>
        </w:rPr>
      </w:pPr>
    </w:p>
    <w:p w14:paraId="1A173DEA" w14:textId="08AF06D0" w:rsidR="0098377B" w:rsidRDefault="0098377B" w:rsidP="0098377B">
      <w:pPr>
        <w:pStyle w:val="Normal"/>
        <w:rPr>
          <w:rFonts w:ascii="Calibri" w:hAnsi="Calibri" w:cs="Calibri"/>
        </w:rPr>
      </w:pPr>
    </w:p>
    <w:p w14:paraId="3DA51402" w14:textId="00FD5E48" w:rsidR="0098377B" w:rsidRDefault="0098377B" w:rsidP="0098377B">
      <w:pPr>
        <w:pStyle w:val="Normal"/>
        <w:rPr>
          <w:rFonts w:ascii="Calibri" w:hAnsi="Calibri" w:cs="Calibri"/>
        </w:rPr>
      </w:pPr>
    </w:p>
    <w:p w14:paraId="716712A4" w14:textId="77777777" w:rsidR="0098377B" w:rsidRDefault="0098377B" w:rsidP="0098377B">
      <w:pPr>
        <w:pStyle w:val="Normal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Objaśnienia do Wieloletniej Prognozy Finansowej Gminy Jednorożec </w:t>
      </w:r>
    </w:p>
    <w:p w14:paraId="1A42FEEA" w14:textId="77777777" w:rsidR="0098377B" w:rsidRDefault="0098377B" w:rsidP="0098377B">
      <w:pPr>
        <w:pStyle w:val="Normal"/>
        <w:jc w:val="center"/>
        <w:rPr>
          <w:rFonts w:ascii="Calibri" w:hAnsi="Calibri" w:cs="Calibri"/>
          <w:color w:val="000000"/>
        </w:rPr>
      </w:pPr>
    </w:p>
    <w:p w14:paraId="173A08B0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2022 przyjęto: </w:t>
      </w:r>
    </w:p>
    <w:p w14:paraId="286C0BD3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51.754.492,40 zł</w:t>
      </w:r>
      <w:r>
        <w:rPr>
          <w:rFonts w:ascii="Calibri" w:hAnsi="Calibri" w:cs="Calibri"/>
          <w:color w:val="000000"/>
        </w:rPr>
        <w:t>, w tym:</w:t>
      </w:r>
    </w:p>
    <w:p w14:paraId="540E66DB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47.987.779,94 zł;</w:t>
      </w:r>
    </w:p>
    <w:p w14:paraId="478CCB28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- 3.766.712,46 zł.</w:t>
      </w:r>
    </w:p>
    <w:p w14:paraId="7F5A9113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51.414.274,95 zł,</w:t>
      </w:r>
      <w:r>
        <w:rPr>
          <w:rFonts w:ascii="Calibri" w:hAnsi="Calibri" w:cs="Calibri"/>
          <w:color w:val="000000"/>
        </w:rPr>
        <w:t xml:space="preserve"> w tym:</w:t>
      </w:r>
    </w:p>
    <w:p w14:paraId="507C740C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- 45.567.932,88 zł;</w:t>
      </w:r>
    </w:p>
    <w:p w14:paraId="517CCACC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- 5.846.342,07 zł.</w:t>
      </w:r>
    </w:p>
    <w:p w14:paraId="3B7CD72A" w14:textId="77777777" w:rsidR="0098377B" w:rsidRDefault="0098377B" w:rsidP="00983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759.782,55 zł</w:t>
      </w:r>
      <w:r>
        <w:rPr>
          <w:rFonts w:ascii="Calibri" w:hAnsi="Calibri" w:cs="Calibri"/>
          <w:color w:val="000000"/>
        </w:rPr>
        <w:t xml:space="preserve"> -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339.067,70 zł wolne środki, o których mowa w art. 217 ust.2 pkt 6 ustawy.</w:t>
      </w:r>
    </w:p>
    <w:p w14:paraId="3F57450B" w14:textId="77777777" w:rsidR="0098377B" w:rsidRDefault="0098377B" w:rsidP="0098377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12008839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- 6.000.000,00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3976A24A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2022 roku 4,67 %, przy dopuszczalnej spłacie 21,54 %</w:t>
      </w:r>
      <w:r>
        <w:rPr>
          <w:rFonts w:ascii="Times New Roman" w:hAnsi="Times New Roman" w:cs="Times New Roman"/>
          <w:color w:val="000000"/>
        </w:rPr>
        <w:t>.</w:t>
      </w:r>
    </w:p>
    <w:p w14:paraId="173CB179" w14:textId="77777777" w:rsidR="0098377B" w:rsidRDefault="0098377B" w:rsidP="0098377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340.217,45 zł </w:t>
      </w:r>
      <w:r>
        <w:rPr>
          <w:rFonts w:ascii="Calibri" w:hAnsi="Calibri" w:cs="Calibri"/>
          <w:color w:val="000000"/>
        </w:rPr>
        <w:t>- nadwyżka budżetu gminy przeznaczona na planowany wykup papierów wartościowych wyemitowanych przez Gminę Jednorożec.</w:t>
      </w:r>
    </w:p>
    <w:p w14:paraId="0E713877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88FE7FA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3C324E2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06ABB61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79A36ACD" w14:textId="77777777" w:rsidR="0098377B" w:rsidRDefault="0098377B" w:rsidP="0098377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8D98A44" w14:textId="77777777" w:rsidR="0098377B" w:rsidRDefault="0098377B" w:rsidP="0098377B">
      <w:pPr>
        <w:pStyle w:val="Normal"/>
        <w:rPr>
          <w:rFonts w:ascii="Calibri" w:hAnsi="Calibri" w:cs="Calibri"/>
        </w:rPr>
      </w:pPr>
    </w:p>
    <w:sectPr w:rsidR="0098377B" w:rsidSect="00296BAE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A5"/>
    <w:rsid w:val="005B0BA5"/>
    <w:rsid w:val="00975563"/>
    <w:rsid w:val="0098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9AD"/>
  <w15:chartTrackingRefBased/>
  <w15:docId w15:val="{8B2507C8-F2B6-41DB-A644-D323E1D3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837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98377B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8377B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98377B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98377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2023-01-02T08:15:00Z</dcterms:created>
  <dcterms:modified xsi:type="dcterms:W3CDTF">2023-01-02T08:16:00Z</dcterms:modified>
</cp:coreProperties>
</file>