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69DF9" w14:textId="77777777" w:rsidR="001911E7" w:rsidRPr="001911E7" w:rsidRDefault="001911E7" w:rsidP="001911E7">
      <w:pPr>
        <w:jc w:val="center"/>
        <w:rPr>
          <w:rFonts w:ascii="Calibri" w:hAnsi="Calibri" w:cs="Calibri"/>
          <w:i/>
          <w:iCs/>
          <w:sz w:val="24"/>
          <w:szCs w:val="24"/>
        </w:rPr>
      </w:pPr>
      <w:r w:rsidRPr="001911E7">
        <w:rPr>
          <w:rFonts w:ascii="Calibri" w:hAnsi="Calibri" w:cs="Calibri"/>
          <w:b/>
          <w:bCs/>
          <w:sz w:val="24"/>
          <w:szCs w:val="24"/>
        </w:rPr>
        <w:t>Zarządzenie Nr 149/2024</w:t>
      </w:r>
    </w:p>
    <w:p w14:paraId="65573C23" w14:textId="77777777" w:rsidR="001911E7" w:rsidRPr="001911E7" w:rsidRDefault="001911E7" w:rsidP="001911E7">
      <w:pPr>
        <w:jc w:val="center"/>
        <w:rPr>
          <w:rFonts w:ascii="Calibri" w:hAnsi="Calibri" w:cs="Calibri"/>
          <w:i/>
          <w:iCs/>
          <w:sz w:val="24"/>
          <w:szCs w:val="24"/>
        </w:rPr>
      </w:pPr>
      <w:r w:rsidRPr="001911E7">
        <w:rPr>
          <w:rFonts w:ascii="Calibri" w:hAnsi="Calibri" w:cs="Calibri"/>
          <w:b/>
          <w:bCs/>
          <w:sz w:val="24"/>
          <w:szCs w:val="24"/>
        </w:rPr>
        <w:t>Wójta Gminy Jednorożec</w:t>
      </w:r>
    </w:p>
    <w:p w14:paraId="5EAAED05" w14:textId="77777777" w:rsidR="001911E7" w:rsidRPr="001911E7" w:rsidRDefault="001911E7" w:rsidP="001911E7">
      <w:pPr>
        <w:jc w:val="center"/>
        <w:rPr>
          <w:rFonts w:ascii="Calibri" w:hAnsi="Calibri" w:cs="Calibri"/>
          <w:b/>
          <w:bCs/>
          <w:sz w:val="24"/>
          <w:szCs w:val="24"/>
        </w:rPr>
      </w:pPr>
      <w:r w:rsidRPr="001911E7">
        <w:rPr>
          <w:rFonts w:ascii="Calibri" w:hAnsi="Calibri" w:cs="Calibri"/>
          <w:b/>
          <w:bCs/>
          <w:sz w:val="24"/>
          <w:szCs w:val="24"/>
        </w:rPr>
        <w:t>z dnia 24 grudnia 2024 roku</w:t>
      </w:r>
    </w:p>
    <w:p w14:paraId="5E53BEA4" w14:textId="77777777" w:rsidR="001911E7" w:rsidRPr="001911E7" w:rsidRDefault="001911E7" w:rsidP="001911E7">
      <w:pPr>
        <w:jc w:val="center"/>
        <w:rPr>
          <w:rFonts w:ascii="Calibri" w:hAnsi="Calibri" w:cs="Calibri"/>
          <w:sz w:val="24"/>
          <w:szCs w:val="24"/>
        </w:rPr>
      </w:pPr>
    </w:p>
    <w:p w14:paraId="4DC59403" w14:textId="77777777" w:rsidR="001911E7" w:rsidRPr="001911E7" w:rsidRDefault="001911E7" w:rsidP="001911E7">
      <w:pPr>
        <w:spacing w:after="0" w:line="360" w:lineRule="auto"/>
        <w:jc w:val="both"/>
        <w:rPr>
          <w:rFonts w:ascii="Calibri" w:hAnsi="Calibri" w:cs="Calibri"/>
          <w:b/>
          <w:bCs/>
          <w:iCs/>
          <w:sz w:val="24"/>
          <w:szCs w:val="24"/>
        </w:rPr>
      </w:pPr>
      <w:r w:rsidRPr="001911E7">
        <w:rPr>
          <w:rFonts w:ascii="Calibri" w:hAnsi="Calibri" w:cs="Calibri"/>
          <w:b/>
          <w:bCs/>
          <w:iCs/>
          <w:sz w:val="24"/>
          <w:szCs w:val="24"/>
        </w:rPr>
        <w:t>w sprawie zmiany Zarządzenia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w:t>
      </w:r>
    </w:p>
    <w:p w14:paraId="2FCC094A" w14:textId="315D6104" w:rsidR="001911E7" w:rsidRPr="001911E7" w:rsidRDefault="001911E7" w:rsidP="001911E7">
      <w:pPr>
        <w:spacing w:after="0" w:line="360" w:lineRule="auto"/>
        <w:ind w:firstLine="708"/>
        <w:jc w:val="both"/>
        <w:rPr>
          <w:rFonts w:ascii="Calibri" w:hAnsi="Calibri" w:cs="Calibri"/>
          <w:b/>
          <w:bCs/>
          <w:sz w:val="24"/>
          <w:szCs w:val="24"/>
        </w:rPr>
      </w:pPr>
      <w:r w:rsidRPr="001911E7">
        <w:rPr>
          <w:rFonts w:ascii="Calibri" w:hAnsi="Calibri" w:cs="Calibri"/>
          <w:sz w:val="24"/>
          <w:szCs w:val="24"/>
        </w:rPr>
        <w:t xml:space="preserve">Na podstawie art. 10 ustawy z dnia 29 września 1994 roku o rachunkowości (Dz. U. 2023 poz. 120 z </w:t>
      </w:r>
      <w:proofErr w:type="spellStart"/>
      <w:r w:rsidRPr="001911E7">
        <w:rPr>
          <w:rFonts w:ascii="Calibri" w:hAnsi="Calibri" w:cs="Calibri"/>
          <w:sz w:val="24"/>
          <w:szCs w:val="24"/>
        </w:rPr>
        <w:t>późn</w:t>
      </w:r>
      <w:proofErr w:type="spellEnd"/>
      <w:r w:rsidRPr="001911E7">
        <w:rPr>
          <w:rFonts w:ascii="Calibri" w:hAnsi="Calibri" w:cs="Calibri"/>
          <w:sz w:val="24"/>
          <w:szCs w:val="24"/>
        </w:rPr>
        <w:t xml:space="preserve">. zm.) oraz Rozporządzenia Ministra Rozwoju i Finansów                                                  </w:t>
      </w:r>
      <w:r w:rsidR="005D176A">
        <w:rPr>
          <w:rFonts w:ascii="Calibri" w:hAnsi="Calibri" w:cs="Calibri"/>
          <w:sz w:val="24"/>
          <w:szCs w:val="24"/>
        </w:rPr>
        <w:t xml:space="preserve">     </w:t>
      </w:r>
      <w:r w:rsidRPr="001911E7">
        <w:rPr>
          <w:rFonts w:ascii="Calibri" w:hAnsi="Calibri" w:cs="Calibri"/>
          <w:sz w:val="24"/>
          <w:szCs w:val="24"/>
        </w:rPr>
        <w:t>z dnia</w:t>
      </w:r>
      <w:r w:rsidR="005D176A">
        <w:rPr>
          <w:rFonts w:ascii="Calibri" w:hAnsi="Calibri" w:cs="Calibri"/>
          <w:sz w:val="24"/>
          <w:szCs w:val="24"/>
        </w:rPr>
        <w:t xml:space="preserve"> </w:t>
      </w:r>
      <w:r w:rsidRPr="001911E7">
        <w:rPr>
          <w:rFonts w:ascii="Calibri" w:hAnsi="Calibri" w:cs="Calibri"/>
          <w:sz w:val="24"/>
          <w:szCs w:val="24"/>
        </w:rPr>
        <w:t xml:space="preserve">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Rozporządzenia Ministra Rozwoju i Finansów  z dnia 11 stycznia 2022 roku w sprawie sprawozdawczości budżetowej (Dz. U. z 2024, poz. 454 z </w:t>
      </w:r>
      <w:proofErr w:type="spellStart"/>
      <w:r w:rsidRPr="001911E7">
        <w:rPr>
          <w:rFonts w:ascii="Calibri" w:hAnsi="Calibri" w:cs="Calibri"/>
          <w:sz w:val="24"/>
          <w:szCs w:val="24"/>
        </w:rPr>
        <w:t>późn</w:t>
      </w:r>
      <w:proofErr w:type="spellEnd"/>
      <w:r w:rsidRPr="001911E7">
        <w:rPr>
          <w:rFonts w:ascii="Calibri" w:hAnsi="Calibri" w:cs="Calibri"/>
          <w:sz w:val="24"/>
          <w:szCs w:val="24"/>
        </w:rPr>
        <w:t xml:space="preserve">. zm.) oraz art.40 ustawy z dnia 27 sierpnia 2009 r. o finansach publicznych (Dz.U. 2024 r., poz. 1530 z </w:t>
      </w:r>
      <w:proofErr w:type="spellStart"/>
      <w:r w:rsidRPr="001911E7">
        <w:rPr>
          <w:rFonts w:ascii="Calibri" w:hAnsi="Calibri" w:cs="Calibri"/>
          <w:sz w:val="24"/>
          <w:szCs w:val="24"/>
        </w:rPr>
        <w:t>późn</w:t>
      </w:r>
      <w:proofErr w:type="spellEnd"/>
      <w:r w:rsidRPr="001911E7">
        <w:rPr>
          <w:rFonts w:ascii="Calibri" w:hAnsi="Calibri" w:cs="Calibri"/>
          <w:sz w:val="24"/>
          <w:szCs w:val="24"/>
        </w:rPr>
        <w:t xml:space="preserve">. zm.) – </w:t>
      </w:r>
      <w:r w:rsidRPr="001911E7">
        <w:rPr>
          <w:rFonts w:ascii="Calibri" w:hAnsi="Calibri" w:cs="Calibri"/>
          <w:b/>
          <w:bCs/>
          <w:sz w:val="24"/>
          <w:szCs w:val="24"/>
        </w:rPr>
        <w:t>zarządza się, co następuje:</w:t>
      </w:r>
    </w:p>
    <w:p w14:paraId="418D1953" w14:textId="77777777" w:rsidR="001911E7" w:rsidRPr="001911E7" w:rsidRDefault="001911E7" w:rsidP="001911E7">
      <w:pPr>
        <w:spacing w:after="0" w:line="360" w:lineRule="auto"/>
        <w:jc w:val="both"/>
        <w:rPr>
          <w:rFonts w:ascii="Calibri" w:hAnsi="Calibri" w:cs="Calibri"/>
          <w:bCs/>
          <w:sz w:val="24"/>
          <w:szCs w:val="24"/>
        </w:rPr>
      </w:pPr>
    </w:p>
    <w:p w14:paraId="5D115CE4" w14:textId="0A944EEF" w:rsidR="001911E7" w:rsidRPr="001911E7" w:rsidRDefault="001911E7" w:rsidP="001911E7">
      <w:pPr>
        <w:spacing w:after="0" w:line="360" w:lineRule="auto"/>
        <w:jc w:val="both"/>
        <w:rPr>
          <w:rFonts w:ascii="Calibri" w:hAnsi="Calibri" w:cs="Calibri"/>
          <w:bCs/>
          <w:sz w:val="24"/>
          <w:szCs w:val="24"/>
        </w:rPr>
      </w:pPr>
      <w:r w:rsidRPr="001911E7">
        <w:rPr>
          <w:rFonts w:ascii="Calibri" w:hAnsi="Calibri" w:cs="Calibri"/>
          <w:bCs/>
          <w:sz w:val="24"/>
          <w:szCs w:val="24"/>
        </w:rPr>
        <w:t xml:space="preserve">§ 1. W zarządzeniu nr 44/2012 Wójta Gminy Jednorożec z dnia 5 czerwca 2012 roku z </w:t>
      </w:r>
      <w:proofErr w:type="spellStart"/>
      <w:r w:rsidRPr="001911E7">
        <w:rPr>
          <w:rFonts w:ascii="Calibri" w:hAnsi="Calibri" w:cs="Calibri"/>
          <w:bCs/>
          <w:sz w:val="24"/>
          <w:szCs w:val="24"/>
        </w:rPr>
        <w:t>późn</w:t>
      </w:r>
      <w:proofErr w:type="spellEnd"/>
      <w:r w:rsidRPr="001911E7">
        <w:rPr>
          <w:rFonts w:ascii="Calibri" w:hAnsi="Calibri" w:cs="Calibri"/>
          <w:bCs/>
          <w:sz w:val="24"/>
          <w:szCs w:val="24"/>
        </w:rPr>
        <w:t xml:space="preserve">. zm. w </w:t>
      </w:r>
      <w:r w:rsidRPr="001911E7">
        <w:rPr>
          <w:rFonts w:ascii="Calibri" w:hAnsi="Calibri" w:cs="Calibri"/>
          <w:b/>
          <w:sz w:val="24"/>
          <w:szCs w:val="24"/>
        </w:rPr>
        <w:t>załączniku Nr 3</w:t>
      </w:r>
      <w:r w:rsidR="005D176A">
        <w:rPr>
          <w:rFonts w:ascii="Calibri" w:hAnsi="Calibri" w:cs="Calibri"/>
          <w:b/>
          <w:sz w:val="24"/>
          <w:szCs w:val="24"/>
        </w:rPr>
        <w:t xml:space="preserve"> – </w:t>
      </w:r>
      <w:bookmarkStart w:id="0" w:name="_Hlk186455336"/>
      <w:r w:rsidR="005D176A">
        <w:rPr>
          <w:rFonts w:ascii="Calibri" w:hAnsi="Calibri" w:cs="Calibri"/>
          <w:b/>
          <w:sz w:val="24"/>
          <w:szCs w:val="24"/>
        </w:rPr>
        <w:t>Plan kont dla Budżetu Gminy Jednorożec</w:t>
      </w:r>
      <w:r w:rsidRPr="001911E7">
        <w:rPr>
          <w:rFonts w:ascii="Calibri" w:hAnsi="Calibri" w:cs="Calibri"/>
          <w:sz w:val="24"/>
          <w:szCs w:val="24"/>
        </w:rPr>
        <w:t xml:space="preserve"> </w:t>
      </w:r>
      <w:bookmarkEnd w:id="0"/>
      <w:r w:rsidRPr="001911E7">
        <w:rPr>
          <w:rFonts w:ascii="Calibri" w:hAnsi="Calibri" w:cs="Calibri"/>
          <w:sz w:val="24"/>
          <w:szCs w:val="24"/>
        </w:rPr>
        <w:t xml:space="preserve">do </w:t>
      </w:r>
      <w:r w:rsidRPr="001911E7">
        <w:rPr>
          <w:rFonts w:ascii="Calibri" w:hAnsi="Calibri" w:cs="Calibri"/>
          <w:bCs/>
          <w:sz w:val="24"/>
          <w:szCs w:val="24"/>
        </w:rPr>
        <w:t xml:space="preserve">Zarządzenia Nr 44/2012 Wójta Gminy Jednorożec z dnia 5 czerwca 2012 roku z </w:t>
      </w:r>
      <w:proofErr w:type="spellStart"/>
      <w:r w:rsidRPr="001911E7">
        <w:rPr>
          <w:rFonts w:ascii="Calibri" w:hAnsi="Calibri" w:cs="Calibri"/>
          <w:bCs/>
          <w:sz w:val="24"/>
          <w:szCs w:val="24"/>
        </w:rPr>
        <w:t>późn</w:t>
      </w:r>
      <w:proofErr w:type="spellEnd"/>
      <w:r w:rsidRPr="001911E7">
        <w:rPr>
          <w:rFonts w:ascii="Calibri" w:hAnsi="Calibri" w:cs="Calibri"/>
          <w:bCs/>
          <w:sz w:val="24"/>
          <w:szCs w:val="24"/>
        </w:rPr>
        <w:t>. zm. wprowadza się zmiany:</w:t>
      </w:r>
    </w:p>
    <w:p w14:paraId="7E258B90" w14:textId="77777777" w:rsidR="001911E7" w:rsidRPr="001911E7" w:rsidRDefault="001911E7" w:rsidP="001911E7">
      <w:pPr>
        <w:spacing w:after="0" w:line="360" w:lineRule="auto"/>
        <w:jc w:val="both"/>
        <w:rPr>
          <w:rFonts w:ascii="Calibri" w:hAnsi="Calibri" w:cs="Calibri"/>
          <w:b/>
          <w:bCs/>
          <w:sz w:val="24"/>
          <w:szCs w:val="24"/>
        </w:rPr>
      </w:pPr>
      <w:r w:rsidRPr="005D176A">
        <w:rPr>
          <w:rFonts w:ascii="Calibri" w:hAnsi="Calibri" w:cs="Calibri"/>
          <w:bCs/>
          <w:sz w:val="24"/>
          <w:szCs w:val="24"/>
        </w:rPr>
        <w:t>„</w:t>
      </w:r>
      <w:r w:rsidRPr="005D176A">
        <w:rPr>
          <w:rFonts w:ascii="Calibri" w:hAnsi="Calibri" w:cs="Calibri"/>
          <w:b/>
          <w:bCs/>
          <w:sz w:val="24"/>
          <w:szCs w:val="24"/>
        </w:rPr>
        <w:t>Konto</w:t>
      </w:r>
      <w:r w:rsidRPr="001911E7">
        <w:rPr>
          <w:rFonts w:ascii="Calibri" w:hAnsi="Calibri" w:cs="Calibri"/>
          <w:b/>
          <w:bCs/>
          <w:sz w:val="24"/>
          <w:szCs w:val="24"/>
        </w:rPr>
        <w:t xml:space="preserve"> 224 – „Rozrachunki budżetu”</w:t>
      </w:r>
    </w:p>
    <w:p w14:paraId="0168135E"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Konto 224 służy do ewidencji rozrachunków z innymi budżetami, a w szczególności:</w:t>
      </w:r>
    </w:p>
    <w:p w14:paraId="10BBC0F6" w14:textId="77777777" w:rsidR="001911E7" w:rsidRPr="001911E7" w:rsidRDefault="001911E7" w:rsidP="001911E7">
      <w:pPr>
        <w:numPr>
          <w:ilvl w:val="0"/>
          <w:numId w:val="1"/>
        </w:numPr>
        <w:spacing w:after="0" w:line="360" w:lineRule="auto"/>
        <w:jc w:val="both"/>
        <w:rPr>
          <w:rFonts w:ascii="Calibri" w:hAnsi="Calibri" w:cs="Calibri"/>
          <w:sz w:val="24"/>
          <w:szCs w:val="24"/>
        </w:rPr>
      </w:pPr>
      <w:r w:rsidRPr="001911E7">
        <w:rPr>
          <w:rFonts w:ascii="Calibri" w:hAnsi="Calibri" w:cs="Calibri"/>
          <w:sz w:val="24"/>
          <w:szCs w:val="24"/>
        </w:rPr>
        <w:t>rozliczeń dochodów budżetowych realizowanych przez urzędy skarbowe na rzecz budżetu,</w:t>
      </w:r>
    </w:p>
    <w:p w14:paraId="0DE65F9C" w14:textId="77777777" w:rsidR="001911E7" w:rsidRPr="001911E7" w:rsidRDefault="001911E7" w:rsidP="001911E7">
      <w:pPr>
        <w:numPr>
          <w:ilvl w:val="0"/>
          <w:numId w:val="1"/>
        </w:numPr>
        <w:spacing w:after="0" w:line="360" w:lineRule="auto"/>
        <w:jc w:val="both"/>
        <w:rPr>
          <w:rFonts w:ascii="Calibri" w:hAnsi="Calibri" w:cs="Calibri"/>
          <w:sz w:val="24"/>
          <w:szCs w:val="24"/>
        </w:rPr>
      </w:pPr>
      <w:r w:rsidRPr="001911E7">
        <w:rPr>
          <w:rFonts w:ascii="Calibri" w:hAnsi="Calibri" w:cs="Calibri"/>
          <w:sz w:val="24"/>
          <w:szCs w:val="24"/>
        </w:rPr>
        <w:t>rozrachunków z tytułu dochodów pobranych na rzecz budżetu państwa,</w:t>
      </w:r>
    </w:p>
    <w:p w14:paraId="59EE922A" w14:textId="77777777" w:rsidR="001911E7" w:rsidRPr="001911E7" w:rsidRDefault="001911E7" w:rsidP="001911E7">
      <w:pPr>
        <w:numPr>
          <w:ilvl w:val="0"/>
          <w:numId w:val="1"/>
        </w:numPr>
        <w:spacing w:after="0" w:line="360" w:lineRule="auto"/>
        <w:jc w:val="both"/>
        <w:rPr>
          <w:rFonts w:ascii="Calibri" w:hAnsi="Calibri" w:cs="Calibri"/>
          <w:sz w:val="24"/>
          <w:szCs w:val="24"/>
        </w:rPr>
      </w:pPr>
      <w:r w:rsidRPr="001911E7">
        <w:rPr>
          <w:rFonts w:ascii="Calibri" w:hAnsi="Calibri" w:cs="Calibri"/>
          <w:sz w:val="24"/>
          <w:szCs w:val="24"/>
        </w:rPr>
        <w:lastRenderedPageBreak/>
        <w:t>rozliczeń z urzędem skarbowym z tytułu podatku VAT.</w:t>
      </w:r>
    </w:p>
    <w:p w14:paraId="306A3714"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Ewidencja szczegółowa do konta 224 powinna umożliwić ustalenie stanu należności i zobowiązań według poszczególnych tytułów oraz według poszczególnych budżetów. Ewidencja szczegółowa prowadzona jest poprzez dodanie do konta 224 numeru w zależności od rodzaju i źródła pochodzenia środków.</w:t>
      </w:r>
    </w:p>
    <w:p w14:paraId="75CFC5F1"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Konto 224 może wykazywać dwa salda.</w:t>
      </w:r>
    </w:p>
    <w:p w14:paraId="3EE999EC"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Saldo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konta 224 oznacza stan należności, a saldo Ma konta 224 – stan zobowiązań budżetu z tytułu pozostałych rozrachunków.</w:t>
      </w:r>
    </w:p>
    <w:p w14:paraId="22C2D7D1"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Przypisy, dochody wykonane oraz zaległości dochodów otrzymywanych z Urzędu Skarbowego wykazuje się na podstawie informacji o dochodach budżetowych pobieranych przez urzędy skarbowe na rzecz jednostek samorządu terytorialnego ukazanych na stronie Ministerstwa Finansów po zakończeniu kwartału. Dochody wykonane na bieżąco ujmowane pod datą wyciągu bankowego, w korespondencji z kontem 224. </w:t>
      </w:r>
    </w:p>
    <w:p w14:paraId="27DE21AD"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Wpływy z tytułu subwencji, dotacji oraz udziały w podatku dochodowym od osób fizycznych przekazane przez Ministerstwo Finansów w ciągu roku są księgowane z pominięciem konta 224. Subwencja oraz udziały w podatku dochodowym od osób fizycznych przekazane przez Ministerstwo Finansów otrzymane w grudniu za styczeń następnego roku ujmuje się na koncie 909. </w:t>
      </w:r>
    </w:p>
    <w:p w14:paraId="0FBEBEE5"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Konto 224 służy m.in. do rozrachunków z tytułu dochodów pobranych na rzecz budżetu państwa Na podstawie instrukcji sporządzania sprawozdania kwartalnego Rb-27ZZ należy przyjąć, że dochodami pobranymi na rzecz budżetu jednostki samorządu terytorialnego jest tylko ta część dochodów związanych z realizacją zadań z zakresu administracji rządowej oraz innych zadań zleconych ustawami, która jest należna budżetowi państwa. W instrukcji tej określono, że dochody wykonane w związku z realizacją zadań zleconych z zakresu administracji rządowej, należne jednostkom samorządu terytorialnego na podstawie odrębnych przepisów, nie stanowią dochodów budżetu państwa. </w:t>
      </w:r>
    </w:p>
    <w:p w14:paraId="23AE10E3"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Przyjmując założenie, że wpłaty na rachunek budżetu dochodów zrealizowanych przez jednostki budżetowe w związku z realizacją zadań z zakresu administracji rządowej i innych zadań zleconych ustawami jest księgowany na koncie 224 wystąpią następujące zapisy związane z rozliczeniem uzyskanych z tego tytułu wpływów:</w:t>
      </w:r>
    </w:p>
    <w:p w14:paraId="67CAA90F"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 zobowiązania wobec budżetu państwa, w wysokości należnej budżetowi państwa –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133, Ma 224;</w:t>
      </w:r>
    </w:p>
    <w:p w14:paraId="64C4810F"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lastRenderedPageBreak/>
        <w:t xml:space="preserve">– zobowiązania wobec innych jednostek samorządu terytorialnego, w wysokości należnej jednostek samorządu terytorialnego –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133, Ma 224;</w:t>
      </w:r>
    </w:p>
    <w:p w14:paraId="619809C5"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 przelewy dochodów należnych budżetowi państwa –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224, Ma 133;</w:t>
      </w:r>
    </w:p>
    <w:p w14:paraId="20BBA4EF"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 zaksięgowanie dochodów należnych jednostce samorządu terytorialnego wg klasyfikacji budżetowej dochodów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224, Ma 901.</w:t>
      </w:r>
    </w:p>
    <w:p w14:paraId="59B31A8C"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Konto 224 służy także do rozliczenia z tytułu VAT z urzędem skarbowym i jednostkami (z wyjątkiem jednostki urząd gminy).  Na stronie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ujmuje się:</w:t>
      </w:r>
    </w:p>
    <w:p w14:paraId="470E4FC4"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 przelewy VAT na rachunek urzędu skarbowego w wysokości wynikającej z miesięcznej deklaracji VAT- 7 sporządzonej jednostki (z wyjątkiem jednostki urząd gminy), w korespondencji z kontem 133,            </w:t>
      </w:r>
    </w:p>
    <w:p w14:paraId="0B16E30E"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Na stronie Ma ujmuje się:</w:t>
      </w:r>
    </w:p>
    <w:p w14:paraId="08114331"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wpływ VAT od jednostki (z wyjątkiem jednostki urząd gminy) na rachunek budżetu, w korespondencji z kontem 133,</w:t>
      </w:r>
    </w:p>
    <w:p w14:paraId="194B5DA2"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ab/>
        <w:t xml:space="preserve">Konto 224 może wykazywać dwa salda. Saldo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oznacza stan należności, saldo Ma oznacza stan zobowiązań budżetu.”</w:t>
      </w:r>
    </w:p>
    <w:p w14:paraId="7B53D77B" w14:textId="77777777" w:rsidR="001911E7" w:rsidRPr="001911E7" w:rsidRDefault="001911E7" w:rsidP="001911E7">
      <w:pPr>
        <w:spacing w:after="0" w:line="360" w:lineRule="auto"/>
        <w:jc w:val="both"/>
        <w:rPr>
          <w:rFonts w:ascii="Calibri" w:hAnsi="Calibri" w:cs="Calibri"/>
          <w:b/>
          <w:sz w:val="24"/>
          <w:szCs w:val="24"/>
        </w:rPr>
      </w:pPr>
      <w:r w:rsidRPr="001911E7">
        <w:rPr>
          <w:rFonts w:ascii="Calibri" w:hAnsi="Calibri" w:cs="Calibri"/>
          <w:b/>
          <w:sz w:val="24"/>
          <w:szCs w:val="24"/>
        </w:rPr>
        <w:t>Konto 909 „Rozliczenia międzyokresowe”</w:t>
      </w:r>
    </w:p>
    <w:p w14:paraId="5A7E7C66"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Konto służy do ewidencji rozliczeń międzyokresowych.</w:t>
      </w:r>
    </w:p>
    <w:p w14:paraId="4177327E"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Na stronie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tego konta ujmuje się w szczególności koszty finansowe stanowiące wydatki przyszłych okresów tj. naliczone na dzień 31 grudnia odsetki od zaciągniętych kredytów, pożyczek i wyemitowanych obligacji komunalnych, a na stronie Ma przychody finansowe stanowiące dochody przyszłych okresów tj. wpływ subwencji otrzymanej w miesiącu grudniu roku bieżącego na miesiąc styczeń roku następnego oraz udziały w podatku dochodowym PIT otrzymane w miesiącu grudniu roku bieżącego na miesiąc styczeń roku następnego.</w:t>
      </w:r>
    </w:p>
    <w:p w14:paraId="14D8D2A9"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Ewidencja szczegółowa do konta 909 powinna umożliwić ustalenie stanu rozliczeń międzyokresowych wg tytułów. </w:t>
      </w:r>
    </w:p>
    <w:p w14:paraId="5D164A6D" w14:textId="77777777" w:rsidR="001911E7" w:rsidRPr="001911E7" w:rsidRDefault="001911E7" w:rsidP="001911E7">
      <w:pPr>
        <w:spacing w:after="0" w:line="360" w:lineRule="auto"/>
        <w:jc w:val="both"/>
        <w:rPr>
          <w:rFonts w:ascii="Calibri" w:hAnsi="Calibri" w:cs="Calibri"/>
          <w:sz w:val="24"/>
          <w:szCs w:val="24"/>
        </w:rPr>
      </w:pPr>
      <w:r w:rsidRPr="001911E7">
        <w:rPr>
          <w:rFonts w:ascii="Calibri" w:hAnsi="Calibri" w:cs="Calibri"/>
          <w:sz w:val="24"/>
          <w:szCs w:val="24"/>
        </w:rPr>
        <w:t xml:space="preserve">Konto 909 może wykazać saldo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i Ma. Na koniec roku saldo strony </w:t>
      </w:r>
      <w:proofErr w:type="spellStart"/>
      <w:r w:rsidRPr="001911E7">
        <w:rPr>
          <w:rFonts w:ascii="Calibri" w:hAnsi="Calibri" w:cs="Calibri"/>
          <w:sz w:val="24"/>
          <w:szCs w:val="24"/>
        </w:rPr>
        <w:t>Wn</w:t>
      </w:r>
      <w:proofErr w:type="spellEnd"/>
      <w:r w:rsidRPr="001911E7">
        <w:rPr>
          <w:rFonts w:ascii="Calibri" w:hAnsi="Calibri" w:cs="Calibri"/>
          <w:sz w:val="24"/>
          <w:szCs w:val="24"/>
        </w:rPr>
        <w:t xml:space="preserve"> oznacza stan rozliczeń międzyokresowych kosztów, zaś saldo strony Ma stan wymagalnych i otrzymanych w grudniu dochodów budżetowych należnych za styczeń następnego roku oraz przychodów przypisanych, które w przyszłych okresach spowodują wykonanie dochodów budżetowych.”</w:t>
      </w:r>
    </w:p>
    <w:p w14:paraId="3B3217CE" w14:textId="77777777" w:rsidR="001911E7" w:rsidRPr="001911E7" w:rsidRDefault="001911E7" w:rsidP="001911E7">
      <w:pPr>
        <w:spacing w:after="0" w:line="360" w:lineRule="auto"/>
        <w:jc w:val="both"/>
        <w:rPr>
          <w:rFonts w:ascii="Calibri" w:hAnsi="Calibri" w:cs="Calibri"/>
          <w:bCs/>
          <w:sz w:val="24"/>
          <w:szCs w:val="24"/>
        </w:rPr>
      </w:pPr>
      <w:r w:rsidRPr="001911E7">
        <w:rPr>
          <w:rFonts w:ascii="Calibri" w:hAnsi="Calibri" w:cs="Calibri"/>
          <w:bCs/>
          <w:sz w:val="24"/>
          <w:szCs w:val="24"/>
        </w:rPr>
        <w:t>§ 2.Wykonanie zarządzenia powierza się Skarbnikowi Gminy.</w:t>
      </w:r>
    </w:p>
    <w:p w14:paraId="0BC81C5F" w14:textId="77777777" w:rsidR="001911E7" w:rsidRPr="001911E7" w:rsidRDefault="001911E7" w:rsidP="001911E7">
      <w:pPr>
        <w:spacing w:after="0" w:line="360" w:lineRule="auto"/>
        <w:jc w:val="both"/>
        <w:rPr>
          <w:rFonts w:ascii="Calibri" w:hAnsi="Calibri" w:cs="Calibri"/>
          <w:bCs/>
          <w:sz w:val="24"/>
          <w:szCs w:val="24"/>
        </w:rPr>
      </w:pPr>
      <w:r w:rsidRPr="001911E7">
        <w:rPr>
          <w:rFonts w:ascii="Calibri" w:hAnsi="Calibri" w:cs="Calibri"/>
          <w:bCs/>
          <w:sz w:val="24"/>
          <w:szCs w:val="24"/>
        </w:rPr>
        <w:t>§ 3.Zarządzenie wchodzi w życie z mocą obowiązującą od dnia 20 grudnia 2024 roku.</w:t>
      </w:r>
    </w:p>
    <w:p w14:paraId="30120B3A" w14:textId="4F6B77E2" w:rsidR="00996B4D" w:rsidRDefault="001911E7" w:rsidP="001911E7">
      <w:pPr>
        <w:spacing w:after="0" w:line="360" w:lineRule="auto"/>
        <w:ind w:left="5664" w:firstLine="708"/>
      </w:pPr>
      <w:r>
        <w:t xml:space="preserve">Wójt </w:t>
      </w:r>
    </w:p>
    <w:p w14:paraId="370E8A28" w14:textId="0F593036" w:rsidR="001911E7" w:rsidRDefault="001911E7" w:rsidP="001911E7">
      <w:pPr>
        <w:spacing w:after="0" w:line="360" w:lineRule="auto"/>
        <w:ind w:left="4248" w:firstLine="708"/>
      </w:pPr>
      <w:r>
        <w:t xml:space="preserve">/-/ mgr inż. Krzysztof </w:t>
      </w:r>
      <w:proofErr w:type="spellStart"/>
      <w:r>
        <w:t>Nizielski</w:t>
      </w:r>
      <w:proofErr w:type="spellEnd"/>
    </w:p>
    <w:sectPr w:rsidR="001911E7" w:rsidSect="001911E7">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4642B"/>
    <w:multiLevelType w:val="hybridMultilevel"/>
    <w:tmpl w:val="2DDA6EE4"/>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num w:numId="1" w16cid:durableId="117206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1B"/>
    <w:rsid w:val="001911E7"/>
    <w:rsid w:val="002E0462"/>
    <w:rsid w:val="0045681B"/>
    <w:rsid w:val="005D176A"/>
    <w:rsid w:val="00996B4D"/>
    <w:rsid w:val="00A772FF"/>
    <w:rsid w:val="00D006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74D4"/>
  <w15:chartTrackingRefBased/>
  <w15:docId w15:val="{6329DC56-C4D9-4385-B503-3C0EE29F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56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56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568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568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568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568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68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68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68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68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568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568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568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568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568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68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68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681B"/>
    <w:rPr>
      <w:rFonts w:eastAsiaTheme="majorEastAsia" w:cstheme="majorBidi"/>
      <w:color w:val="272727" w:themeColor="text1" w:themeTint="D8"/>
    </w:rPr>
  </w:style>
  <w:style w:type="paragraph" w:styleId="Tytu">
    <w:name w:val="Title"/>
    <w:basedOn w:val="Normalny"/>
    <w:next w:val="Normalny"/>
    <w:link w:val="TytuZnak"/>
    <w:uiPriority w:val="10"/>
    <w:qFormat/>
    <w:rsid w:val="0045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68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68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68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681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681B"/>
    <w:rPr>
      <w:i/>
      <w:iCs/>
      <w:color w:val="404040" w:themeColor="text1" w:themeTint="BF"/>
    </w:rPr>
  </w:style>
  <w:style w:type="paragraph" w:styleId="Akapitzlist">
    <w:name w:val="List Paragraph"/>
    <w:basedOn w:val="Normalny"/>
    <w:uiPriority w:val="34"/>
    <w:qFormat/>
    <w:rsid w:val="0045681B"/>
    <w:pPr>
      <w:ind w:left="720"/>
      <w:contextualSpacing/>
    </w:pPr>
  </w:style>
  <w:style w:type="character" w:styleId="Wyrnienieintensywne">
    <w:name w:val="Intense Emphasis"/>
    <w:basedOn w:val="Domylnaczcionkaakapitu"/>
    <w:uiPriority w:val="21"/>
    <w:qFormat/>
    <w:rsid w:val="0045681B"/>
    <w:rPr>
      <w:i/>
      <w:iCs/>
      <w:color w:val="0F4761" w:themeColor="accent1" w:themeShade="BF"/>
    </w:rPr>
  </w:style>
  <w:style w:type="paragraph" w:styleId="Cytatintensywny">
    <w:name w:val="Intense Quote"/>
    <w:basedOn w:val="Normalny"/>
    <w:next w:val="Normalny"/>
    <w:link w:val="CytatintensywnyZnak"/>
    <w:uiPriority w:val="30"/>
    <w:qFormat/>
    <w:rsid w:val="00456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5681B"/>
    <w:rPr>
      <w:i/>
      <w:iCs/>
      <w:color w:val="0F4761" w:themeColor="accent1" w:themeShade="BF"/>
    </w:rPr>
  </w:style>
  <w:style w:type="character" w:styleId="Odwoanieintensywne">
    <w:name w:val="Intense Reference"/>
    <w:basedOn w:val="Domylnaczcionkaakapitu"/>
    <w:uiPriority w:val="32"/>
    <w:qFormat/>
    <w:rsid w:val="004568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858792">
      <w:bodyDiv w:val="1"/>
      <w:marLeft w:val="0"/>
      <w:marRight w:val="0"/>
      <w:marTop w:val="0"/>
      <w:marBottom w:val="0"/>
      <w:divBdr>
        <w:top w:val="none" w:sz="0" w:space="0" w:color="auto"/>
        <w:left w:val="none" w:sz="0" w:space="0" w:color="auto"/>
        <w:bottom w:val="none" w:sz="0" w:space="0" w:color="auto"/>
        <w:right w:val="none" w:sz="0" w:space="0" w:color="auto"/>
      </w:divBdr>
    </w:div>
    <w:div w:id="7892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945</Words>
  <Characters>5670</Characters>
  <Application>Microsoft Office Word</Application>
  <DocSecurity>0</DocSecurity>
  <Lines>47</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5</cp:revision>
  <cp:lastPrinted>2024-12-30T11:49:00Z</cp:lastPrinted>
  <dcterms:created xsi:type="dcterms:W3CDTF">2024-12-30T11:35:00Z</dcterms:created>
  <dcterms:modified xsi:type="dcterms:W3CDTF">2024-12-30T11:49:00Z</dcterms:modified>
</cp:coreProperties>
</file>