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B65B" w14:textId="77777777" w:rsidR="0093536F" w:rsidRDefault="0093536F" w:rsidP="0093536F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XXIV.17.2026</w:t>
      </w:r>
    </w:p>
    <w:p w14:paraId="3F5F98E0" w14:textId="77777777" w:rsidR="0093536F" w:rsidRDefault="0093536F" w:rsidP="0093536F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Rady Gminy Jednorożec</w:t>
      </w:r>
      <w:r>
        <w:rPr>
          <w:rFonts w:ascii="Calibri" w:hAnsi="Calibri" w:cs="Calibri"/>
          <w:b/>
          <w:bCs/>
        </w:rPr>
        <w:br/>
        <w:t>z dnia 28 kwietnia 2026 roku</w:t>
      </w:r>
    </w:p>
    <w:p w14:paraId="51789EB8" w14:textId="77777777" w:rsidR="0093536F" w:rsidRDefault="0093536F" w:rsidP="0093536F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  <w:t>zmieniająca uchwałę Nr XX.66.2025 Rady Gminy Jednorożec z dnia 22 grudnia 2025 roku w sprawie Wieloletniej Prognozy Finansowej Gminy Jednorożec na lata 2026-2029</w:t>
      </w:r>
    </w:p>
    <w:p w14:paraId="1B6DCE6A" w14:textId="77777777" w:rsidR="0093536F" w:rsidRDefault="0093536F" w:rsidP="0093536F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5E947C9E" w14:textId="77777777" w:rsidR="0093536F" w:rsidRDefault="0093536F" w:rsidP="0093536F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2025 r, poz. 1483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017D9783" w14:textId="77777777" w:rsidR="0093536F" w:rsidRDefault="0093536F" w:rsidP="0093536F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XX.66.2025 Rady Gminy Jednorożec z dnia 22 grudnia 2025 roku  w sprawie Wieloletniej Prognozy Finansowej Gminy Jednorożec na lata 2026-2029 wprowadza się następujące zmiany:</w:t>
      </w:r>
    </w:p>
    <w:p w14:paraId="4A2A3576" w14:textId="77777777" w:rsidR="0093536F" w:rsidRDefault="0093536F" w:rsidP="0093536F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2026–2029 otrzymuje brzmienie jak w załączniku Nr 1 do niniejszej uchwały.</w:t>
      </w:r>
    </w:p>
    <w:p w14:paraId="5051C489" w14:textId="77777777" w:rsidR="0093536F" w:rsidRDefault="0093536F" w:rsidP="0093536F">
      <w:pPr>
        <w:pStyle w:val="ZalParagraf"/>
        <w:spacing w:before="0" w:line="360" w:lineRule="auto"/>
        <w:jc w:val="both"/>
        <w:rPr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2. Załącznik Nr 2 "Wykaz przedsięwzięć do Wieloletniej Prognozy Finansowej Gminy Jednorożec" otrzymuje brzmienie</w:t>
      </w:r>
      <w:r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>jak w załączniku Nr 2 do niniejszej uchwały.</w:t>
      </w:r>
    </w:p>
    <w:p w14:paraId="6BEDAAD0" w14:textId="77777777" w:rsidR="0093536F" w:rsidRDefault="0093536F" w:rsidP="0093536F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3. Dołącza się objaśnienia przyjętych wartości w Wieloletniej Prognozie Finansowej Gminy Jednorożec na lata 2026-2029.</w:t>
      </w:r>
      <w:r>
        <w:rPr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7BECEBF" w14:textId="77777777" w:rsidR="0093536F" w:rsidRDefault="0093536F" w:rsidP="0093536F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0E0E3F7F" w14:textId="77777777" w:rsidR="0093536F" w:rsidRDefault="0093536F" w:rsidP="0093536F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</w:p>
    <w:p w14:paraId="53A690E6" w14:textId="77777777" w:rsidR="0093536F" w:rsidRDefault="0093536F" w:rsidP="0093536F">
      <w:pPr>
        <w:pStyle w:val="Normal"/>
        <w:rPr>
          <w:rFonts w:ascii="Calibri" w:hAnsi="Calibri" w:cs="Calibri"/>
        </w:rPr>
      </w:pPr>
    </w:p>
    <w:p w14:paraId="3811B660" w14:textId="77777777" w:rsidR="0093536F" w:rsidRDefault="0093536F" w:rsidP="0093536F">
      <w:pPr>
        <w:pStyle w:val="Normal"/>
        <w:rPr>
          <w:rFonts w:ascii="Calibri" w:hAnsi="Calibri" w:cs="Calibri"/>
        </w:rPr>
      </w:pPr>
    </w:p>
    <w:p w14:paraId="1A8E4D28" w14:textId="77777777" w:rsidR="0093536F" w:rsidRDefault="0093536F" w:rsidP="0093536F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032A78F" w14:textId="7F32B5FA" w:rsidR="0093536F" w:rsidRDefault="0093536F" w:rsidP="0093536F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1253035A" w14:textId="55B45660" w:rsidR="0093536F" w:rsidRDefault="0093536F" w:rsidP="0093536F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/-/ Tadeusz Sobolewski</w:t>
      </w:r>
    </w:p>
    <w:p w14:paraId="0EF27964" w14:textId="77777777" w:rsidR="00996B4D" w:rsidRDefault="00996B4D"/>
    <w:p w14:paraId="05FF2EAE" w14:textId="77777777" w:rsidR="006340A3" w:rsidRDefault="006340A3"/>
    <w:p w14:paraId="25EC7DDF" w14:textId="77777777" w:rsidR="006340A3" w:rsidRDefault="006340A3"/>
    <w:p w14:paraId="76768AA1" w14:textId="77777777" w:rsidR="006340A3" w:rsidRDefault="006340A3"/>
    <w:p w14:paraId="764FDDF1" w14:textId="77777777" w:rsidR="006340A3" w:rsidRDefault="006340A3"/>
    <w:p w14:paraId="047A6872" w14:textId="77777777" w:rsidR="006340A3" w:rsidRDefault="006340A3"/>
    <w:p w14:paraId="519887D2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639F72C8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7034748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2026 przyjęto: </w:t>
      </w:r>
    </w:p>
    <w:p w14:paraId="53D2932F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64.783.762,38 zł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0655FFE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- dochody bieżące – 54.488.696,20 zł;</w:t>
      </w:r>
    </w:p>
    <w:p w14:paraId="5C207F05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- 10.295.066,18 zł.</w:t>
      </w:r>
    </w:p>
    <w:p w14:paraId="65B5C44C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69.745.232,87 zł,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09387D84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- wydatki bieżące - 45.688.359,28 zł;</w:t>
      </w:r>
    </w:p>
    <w:p w14:paraId="5733E5A0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- wydatki majątkowe - 24.056.873,59 zł.</w:t>
      </w:r>
    </w:p>
    <w:p w14:paraId="7CFD1F8F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6.061.470,49 zł, 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w tym:</w:t>
      </w:r>
    </w:p>
    <w:p w14:paraId="15B0BB7F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- 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przychody pochodzące z wolnych środków, o których mowa w art. 217 ust. 2 pkt 6 ustaw - 2.316.308,29 zł;</w:t>
      </w:r>
    </w:p>
    <w:p w14:paraId="3815A512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- przychody wynikające z rozliczenia środków określonych w art. 5 ust. 1 pkt 2 ustawy i dotacji na realizację programu, projektu lub zadania finansowanego z udziałem tych środków ("</w:t>
      </w:r>
      <w:proofErr w:type="spellStart"/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Samorząd”) - 66.121,61 zł;</w:t>
      </w:r>
    </w:p>
    <w:p w14:paraId="316A6447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- przychody </w:t>
      </w:r>
      <w:r w:rsidRPr="006340A3">
        <w:rPr>
          <w:rFonts w:ascii="Calibri" w:hAnsi="Calibri" w:cs="Calibri"/>
          <w:kern w:val="0"/>
          <w:sz w:val="24"/>
          <w:szCs w:val="24"/>
        </w:rPr>
        <w:t xml:space="preserve">z tytułu rozliczenia dochodów i wydatków nimi finansowanych związanych ze szczególnymi zasadami wykonania budżetu określonymi w odrębnych ustawach 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(opłaty za zezwolenia na sprzedaż napojów alkoholowych) - 33.464,68 zł;</w:t>
      </w:r>
    </w:p>
    <w:p w14:paraId="5995CF3C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- nadwyżka z lat ubiegłych - 3.645.575,91 zł.</w:t>
      </w:r>
    </w:p>
    <w:p w14:paraId="633C09A9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4. Rozchody w kwocie 1.100.000,00 zł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 tj. wykup obligacji komunalnych wyemitowanych w Powszechnej Kasie Oszczędności Bank Polski S.A. oraz w Domu Maklerskim Banku BPS w Warszawie.</w:t>
      </w:r>
    </w:p>
    <w:p w14:paraId="114B8292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- 1.500.000,00 zł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18DCDD47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2026 roku 2,65 %, przy dopuszczalnej spłacie 20,50 %</w:t>
      </w:r>
      <w:r w:rsidRPr="006340A3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6C21B625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7. Wynik budżetu w kwocie 4.961.470,49 zł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 - deficyt budżetu gminy, który zostanie sfinansowany przychodami z wolnych środków w kwocie 1.216.308,29 zł, nadwyżki z lat ubiegłych w kwocie 3.645.575,91 zł, przychodami z tytułu rozliczenia dochodów i wydatków nimi finansowanych związanych ze szczególnymi zasadami wykonania budżetu określonymi w odrębnych ustawach w kwocie 33.464,68 zł oraz przychodami wynikającymi z rozliczenia środków określonych w art. 5 ust. 1 pkt 2 ustawy i dotacji na realizację programu, projektu lub zadania finansowanego z udziałem tych środków w kwocie 66.121,61 zł.</w:t>
      </w:r>
    </w:p>
    <w:p w14:paraId="6455A2F9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PRZEDSIĘWZIĘCIA NA ROK 2026</w:t>
      </w:r>
    </w:p>
    <w:p w14:paraId="445A1C46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I . WYDATKI BIEŻĄCE</w:t>
      </w:r>
    </w:p>
    <w:p w14:paraId="4FFB7FE5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"Mazowsze bez smogu" 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- dokonuje się zwiększenia łącznych nakładów oraz limitu wydatków na 2026 rok  w kwocie 3.720,00 zł.</w:t>
      </w:r>
    </w:p>
    <w:p w14:paraId="7E66658E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952F1F8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>II. WYDATKI MAJĄTKOWE</w:t>
      </w:r>
    </w:p>
    <w:p w14:paraId="3E199AD3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rozbudowa drogi gminnej w miejscowości Drążdżewo Nowe, gmina Jednorożec"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limit wydatków na 2026 rok w kwocie 3.551.500,00 zł oraz skraca okres realizacji zadania do 2026 roku.</w:t>
      </w:r>
    </w:p>
    <w:p w14:paraId="7755616C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"Remont świetlicy wiejskiej we wsi Ulatowo - </w:t>
      </w:r>
      <w:proofErr w:type="spellStart"/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Słabogóra</w:t>
      </w:r>
      <w:proofErr w:type="spellEnd"/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 - odstępuje się od realizacji przedsięwzięcia (zmiana funduszu sołeckiego).</w:t>
      </w:r>
    </w:p>
    <w:p w14:paraId="21876519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6340A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"Zakup gruntów"</w:t>
      </w:r>
      <w:r w:rsidRPr="006340A3">
        <w:rPr>
          <w:rFonts w:ascii="Calibri" w:hAnsi="Calibri" w:cs="Calibri"/>
          <w:color w:val="000000"/>
          <w:kern w:val="0"/>
          <w:sz w:val="24"/>
          <w:szCs w:val="24"/>
        </w:rPr>
        <w:t xml:space="preserve"> - zwiększa się łączne nakłady oraz limit wydatków na 2026 rok w kwocie 4.324,00 zł.</w:t>
      </w:r>
    </w:p>
    <w:p w14:paraId="623E231B" w14:textId="77777777" w:rsidR="006340A3" w:rsidRPr="006340A3" w:rsidRDefault="006340A3" w:rsidP="006340A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E2F2E7F" w14:textId="77777777" w:rsidR="006340A3" w:rsidRDefault="006340A3"/>
    <w:sectPr w:rsidR="006340A3" w:rsidSect="0093536F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40"/>
    <w:rsid w:val="00071236"/>
    <w:rsid w:val="00271740"/>
    <w:rsid w:val="006340A3"/>
    <w:rsid w:val="009045EC"/>
    <w:rsid w:val="0093536F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D457"/>
  <w15:chartTrackingRefBased/>
  <w15:docId w15:val="{9EFD569E-4DDD-47E2-8886-C6922277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7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7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7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7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7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7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7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7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7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7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740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9353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93536F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93536F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2026-04-28T12:17:00Z</dcterms:created>
  <dcterms:modified xsi:type="dcterms:W3CDTF">2026-04-28T12:19:00Z</dcterms:modified>
</cp:coreProperties>
</file>