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97A0" w14:textId="77777777" w:rsidR="0072260D" w:rsidRPr="0072260D" w:rsidRDefault="0072260D" w:rsidP="0072260D">
      <w:pPr>
        <w:pStyle w:val="Nagwek6"/>
        <w:jc w:val="center"/>
        <w:rPr>
          <w:rFonts w:ascii="Calibri" w:hAnsi="Calibri" w:cs="Calibri"/>
          <w:b/>
          <w:bCs/>
          <w:i w:val="0"/>
          <w:iCs w:val="0"/>
          <w:color w:val="auto"/>
          <w:sz w:val="24"/>
          <w:szCs w:val="24"/>
        </w:rPr>
      </w:pPr>
      <w:r w:rsidRPr="0072260D">
        <w:rPr>
          <w:rFonts w:ascii="Calibri" w:hAnsi="Calibri" w:cs="Calibri"/>
          <w:b/>
          <w:bCs/>
          <w:i w:val="0"/>
          <w:iCs w:val="0"/>
          <w:color w:val="auto"/>
          <w:sz w:val="24"/>
          <w:szCs w:val="24"/>
        </w:rPr>
        <w:t>Zarządzenie Nr 44/2026</w:t>
      </w:r>
    </w:p>
    <w:p w14:paraId="4C94AF57" w14:textId="77777777" w:rsidR="0072260D" w:rsidRPr="0072260D" w:rsidRDefault="0072260D" w:rsidP="0072260D">
      <w:pPr>
        <w:pStyle w:val="Nagwek6"/>
        <w:jc w:val="center"/>
        <w:rPr>
          <w:rFonts w:ascii="Calibri" w:hAnsi="Calibri" w:cs="Calibri"/>
          <w:b/>
          <w:bCs/>
          <w:i w:val="0"/>
          <w:iCs w:val="0"/>
          <w:color w:val="auto"/>
          <w:sz w:val="24"/>
          <w:szCs w:val="24"/>
        </w:rPr>
      </w:pPr>
      <w:r w:rsidRPr="0072260D">
        <w:rPr>
          <w:rFonts w:ascii="Calibri" w:hAnsi="Calibri" w:cs="Calibri"/>
          <w:b/>
          <w:bCs/>
          <w:i w:val="0"/>
          <w:iCs w:val="0"/>
          <w:color w:val="auto"/>
          <w:sz w:val="24"/>
          <w:szCs w:val="24"/>
        </w:rPr>
        <w:t>Wójta Gminy Jednorożec</w:t>
      </w:r>
    </w:p>
    <w:p w14:paraId="7F176AC1" w14:textId="77777777" w:rsidR="0072260D" w:rsidRPr="0072260D" w:rsidRDefault="0072260D" w:rsidP="0072260D">
      <w:pPr>
        <w:pStyle w:val="western"/>
        <w:spacing w:before="0" w:beforeAutospacing="0" w:line="360" w:lineRule="auto"/>
        <w:jc w:val="center"/>
        <w:rPr>
          <w:rFonts w:ascii="Calibri" w:hAnsi="Calibri" w:cs="Calibri"/>
          <w:b/>
          <w:bCs/>
          <w:sz w:val="24"/>
          <w:szCs w:val="24"/>
        </w:rPr>
      </w:pPr>
      <w:r w:rsidRPr="0072260D">
        <w:rPr>
          <w:rFonts w:ascii="Calibri" w:hAnsi="Calibri" w:cs="Calibri"/>
          <w:b/>
          <w:bCs/>
          <w:sz w:val="24"/>
          <w:szCs w:val="24"/>
        </w:rPr>
        <w:t>z dnia 24 kwietnia 2026 roku</w:t>
      </w:r>
    </w:p>
    <w:p w14:paraId="64650BF5" w14:textId="77777777" w:rsidR="0072260D" w:rsidRDefault="0072260D" w:rsidP="0072260D">
      <w:pPr>
        <w:pStyle w:val="western"/>
        <w:spacing w:before="0" w:beforeAutospacing="0" w:line="360" w:lineRule="auto"/>
        <w:jc w:val="both"/>
        <w:rPr>
          <w:rFonts w:ascii="Calibri" w:hAnsi="Calibri" w:cs="Calibri"/>
          <w:b/>
          <w:bCs/>
          <w:i/>
          <w:sz w:val="24"/>
          <w:szCs w:val="24"/>
        </w:rPr>
      </w:pPr>
    </w:p>
    <w:p w14:paraId="40675943" w14:textId="2D34F9EF" w:rsidR="0072260D" w:rsidRDefault="0072260D" w:rsidP="0072260D">
      <w:pPr>
        <w:pStyle w:val="western"/>
        <w:spacing w:before="0" w:beforeAutospacing="0" w:line="360" w:lineRule="auto"/>
        <w:jc w:val="both"/>
        <w:rPr>
          <w:rFonts w:ascii="Calibri" w:hAnsi="Calibri" w:cs="Calibri"/>
          <w:i/>
          <w:sz w:val="24"/>
          <w:szCs w:val="24"/>
        </w:rPr>
      </w:pPr>
      <w:r>
        <w:rPr>
          <w:rFonts w:ascii="Calibri" w:hAnsi="Calibri" w:cs="Calibri"/>
          <w:b/>
          <w:bCs/>
          <w:i/>
          <w:sz w:val="24"/>
          <w:szCs w:val="24"/>
        </w:rPr>
        <w:t>w sprawie zmiany Zarządzenia Nr 44/2012 Wójta Gminy Jednorożec z dnia 5 czerwca 2012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Urzędzie Gminy w Jednorożcu</w:t>
      </w:r>
    </w:p>
    <w:p w14:paraId="57D82F96" w14:textId="77777777" w:rsidR="0072260D" w:rsidRDefault="0072260D" w:rsidP="0072260D">
      <w:pPr>
        <w:pStyle w:val="western"/>
        <w:spacing w:before="0" w:beforeAutospacing="0" w:line="360" w:lineRule="auto"/>
        <w:ind w:firstLine="709"/>
        <w:jc w:val="both"/>
        <w:rPr>
          <w:rFonts w:ascii="Calibri" w:hAnsi="Calibri" w:cs="Calibri"/>
          <w:color w:val="FF0000"/>
          <w:sz w:val="24"/>
          <w:szCs w:val="24"/>
        </w:rPr>
      </w:pPr>
    </w:p>
    <w:p w14:paraId="1BA67BF0" w14:textId="293523A9" w:rsidR="0072260D" w:rsidRDefault="0072260D" w:rsidP="0072260D">
      <w:pPr>
        <w:pStyle w:val="western"/>
        <w:spacing w:before="0" w:beforeAutospacing="0" w:line="360" w:lineRule="auto"/>
        <w:ind w:firstLine="709"/>
        <w:jc w:val="both"/>
        <w:rPr>
          <w:rFonts w:ascii="Calibri" w:hAnsi="Calibri" w:cs="Calibri"/>
          <w:b/>
          <w:bCs/>
          <w:color w:val="FF0000"/>
          <w:sz w:val="24"/>
          <w:szCs w:val="24"/>
        </w:rPr>
      </w:pPr>
      <w:r>
        <w:rPr>
          <w:rFonts w:ascii="Calibri" w:hAnsi="Calibri" w:cs="Calibri"/>
          <w:sz w:val="24"/>
          <w:szCs w:val="24"/>
        </w:rPr>
        <w:t xml:space="preserve">Na podstawie art. 10 ustawy z dnia 29 września 1994 roku o rachunkowości (Dz. U. 2026 poz. 522) oraz Rozporządzenia Ministra Rozwoju i Finansów                                                  </w:t>
      </w:r>
      <w:r>
        <w:rPr>
          <w:rFonts w:ascii="Calibri" w:hAnsi="Calibri" w:cs="Calibri"/>
          <w:sz w:val="24"/>
          <w:szCs w:val="24"/>
        </w:rPr>
        <w:t xml:space="preserve">                          </w:t>
      </w:r>
      <w:r>
        <w:rPr>
          <w:rFonts w:ascii="Calibri" w:hAnsi="Calibri" w:cs="Calibri"/>
          <w:sz w:val="24"/>
          <w:szCs w:val="24"/>
        </w:rPr>
        <w:t xml:space="preserve">z dnia13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2020 poz. 342 z </w:t>
      </w:r>
      <w:proofErr w:type="spellStart"/>
      <w:r>
        <w:rPr>
          <w:rFonts w:ascii="Calibri" w:hAnsi="Calibri" w:cs="Calibri"/>
          <w:sz w:val="24"/>
          <w:szCs w:val="24"/>
        </w:rPr>
        <w:t>późn</w:t>
      </w:r>
      <w:proofErr w:type="spellEnd"/>
      <w:r>
        <w:rPr>
          <w:rFonts w:ascii="Calibri" w:hAnsi="Calibri" w:cs="Calibri"/>
          <w:sz w:val="24"/>
          <w:szCs w:val="24"/>
        </w:rPr>
        <w:t xml:space="preserve">. zm.), Rozporządzenia Ministra Rozwoju i Finansów  z dnia 29 stycznia 2025 roku w sprawie sprawozdawczości budżetowej (Dz. U. z 2025, poz. 133 z </w:t>
      </w:r>
      <w:proofErr w:type="spellStart"/>
      <w:r>
        <w:rPr>
          <w:rFonts w:ascii="Calibri" w:hAnsi="Calibri" w:cs="Calibri"/>
          <w:sz w:val="24"/>
          <w:szCs w:val="24"/>
        </w:rPr>
        <w:t>późn</w:t>
      </w:r>
      <w:proofErr w:type="spellEnd"/>
      <w:r>
        <w:rPr>
          <w:rFonts w:ascii="Calibri" w:hAnsi="Calibri" w:cs="Calibri"/>
          <w:sz w:val="24"/>
          <w:szCs w:val="24"/>
        </w:rPr>
        <w:t xml:space="preserve">. zm.) oraz art.40 ustawy z dnia 27 sierpnia 2009 r. o finansach publicznych (Dz.U. 2025 r., poz. 1483 z </w:t>
      </w:r>
      <w:proofErr w:type="spellStart"/>
      <w:r>
        <w:rPr>
          <w:rFonts w:ascii="Calibri" w:hAnsi="Calibri" w:cs="Calibri"/>
          <w:sz w:val="24"/>
          <w:szCs w:val="24"/>
        </w:rPr>
        <w:t>późn</w:t>
      </w:r>
      <w:proofErr w:type="spellEnd"/>
      <w:r>
        <w:rPr>
          <w:rFonts w:ascii="Calibri" w:hAnsi="Calibri" w:cs="Calibri"/>
          <w:sz w:val="24"/>
          <w:szCs w:val="24"/>
        </w:rPr>
        <w:t xml:space="preserve">. zm.) – </w:t>
      </w:r>
      <w:r>
        <w:rPr>
          <w:rFonts w:ascii="Calibri" w:hAnsi="Calibri" w:cs="Calibri"/>
          <w:b/>
          <w:bCs/>
          <w:sz w:val="24"/>
          <w:szCs w:val="24"/>
        </w:rPr>
        <w:t>zarządza się, co następuje:</w:t>
      </w:r>
    </w:p>
    <w:p w14:paraId="5CED75FC" w14:textId="77777777" w:rsidR="0072260D" w:rsidRDefault="0072260D" w:rsidP="0072260D">
      <w:pPr>
        <w:pStyle w:val="western"/>
        <w:spacing w:before="0" w:beforeAutospacing="0" w:line="360" w:lineRule="auto"/>
        <w:jc w:val="both"/>
        <w:rPr>
          <w:rFonts w:ascii="Calibri" w:hAnsi="Calibri" w:cs="Calibri"/>
          <w:bCs/>
          <w:color w:val="FF0000"/>
          <w:sz w:val="24"/>
          <w:szCs w:val="24"/>
        </w:rPr>
      </w:pPr>
    </w:p>
    <w:p w14:paraId="1CD42F8C" w14:textId="77777777" w:rsidR="0072260D" w:rsidRDefault="0072260D" w:rsidP="0072260D">
      <w:pPr>
        <w:pStyle w:val="western"/>
        <w:spacing w:before="0" w:beforeAutospacing="0" w:line="360" w:lineRule="auto"/>
        <w:jc w:val="both"/>
        <w:rPr>
          <w:rFonts w:ascii="Calibri" w:hAnsi="Calibri" w:cs="Calibri"/>
          <w:bCs/>
          <w:sz w:val="24"/>
          <w:szCs w:val="24"/>
        </w:rPr>
      </w:pPr>
      <w:r>
        <w:rPr>
          <w:rFonts w:ascii="Calibri" w:hAnsi="Calibri" w:cs="Calibri"/>
          <w:bCs/>
          <w:sz w:val="24"/>
          <w:szCs w:val="24"/>
        </w:rPr>
        <w:t xml:space="preserve">§ 1. W zarządzeniu nr 44/2012 Wójta Gminy Jednorożec z dnia 5 czerwca 2012 roku z </w:t>
      </w:r>
      <w:proofErr w:type="spellStart"/>
      <w:r>
        <w:rPr>
          <w:rFonts w:ascii="Calibri" w:hAnsi="Calibri" w:cs="Calibri"/>
          <w:bCs/>
          <w:sz w:val="24"/>
          <w:szCs w:val="24"/>
        </w:rPr>
        <w:t>późn</w:t>
      </w:r>
      <w:proofErr w:type="spellEnd"/>
      <w:r>
        <w:rPr>
          <w:rFonts w:ascii="Calibri" w:hAnsi="Calibri" w:cs="Calibri"/>
          <w:bCs/>
          <w:sz w:val="24"/>
          <w:szCs w:val="24"/>
        </w:rPr>
        <w:t>. zm. wprowadza się następujące zmiany:</w:t>
      </w:r>
    </w:p>
    <w:p w14:paraId="1330D006" w14:textId="77777777" w:rsidR="0072260D" w:rsidRDefault="0072260D" w:rsidP="0072260D">
      <w:pPr>
        <w:pStyle w:val="western"/>
        <w:spacing w:before="0" w:beforeAutospacing="0" w:line="360" w:lineRule="auto"/>
        <w:jc w:val="both"/>
        <w:rPr>
          <w:rFonts w:ascii="Calibri" w:hAnsi="Calibri" w:cs="Calibri"/>
          <w:sz w:val="24"/>
          <w:szCs w:val="24"/>
        </w:rPr>
      </w:pPr>
      <w:r>
        <w:rPr>
          <w:rFonts w:ascii="Calibri" w:hAnsi="Calibri" w:cs="Calibri"/>
          <w:sz w:val="24"/>
          <w:szCs w:val="24"/>
        </w:rPr>
        <w:t xml:space="preserve">1. w </w:t>
      </w:r>
      <w:r>
        <w:rPr>
          <w:rFonts w:ascii="Calibri" w:hAnsi="Calibri" w:cs="Calibri"/>
          <w:b/>
          <w:bCs/>
          <w:sz w:val="24"/>
          <w:szCs w:val="24"/>
        </w:rPr>
        <w:t>załączniku Nr 2</w:t>
      </w:r>
      <w:r>
        <w:rPr>
          <w:rFonts w:ascii="Calibri" w:hAnsi="Calibri" w:cs="Calibri"/>
          <w:sz w:val="24"/>
          <w:szCs w:val="24"/>
        </w:rPr>
        <w:t xml:space="preserve"> pn.</w:t>
      </w:r>
      <w:r>
        <w:rPr>
          <w:rFonts w:ascii="Calibri" w:hAnsi="Calibri" w:cs="Calibri"/>
          <w:b/>
          <w:bCs/>
          <w:sz w:val="24"/>
          <w:szCs w:val="24"/>
        </w:rPr>
        <w:t xml:space="preserve"> </w:t>
      </w:r>
      <w:r>
        <w:rPr>
          <w:rFonts w:ascii="Calibri" w:hAnsi="Calibri" w:cs="Calibri"/>
          <w:sz w:val="24"/>
          <w:szCs w:val="24"/>
        </w:rPr>
        <w:t>Zakładowy Plan Kont Urzędu Gminy w Jednorożcu wprowadza się zmiany:</w:t>
      </w:r>
    </w:p>
    <w:p w14:paraId="52A93891" w14:textId="77777777" w:rsidR="0072260D" w:rsidRDefault="0072260D" w:rsidP="0072260D">
      <w:pPr>
        <w:pStyle w:val="western"/>
        <w:spacing w:before="0" w:beforeAutospacing="0" w:line="360" w:lineRule="auto"/>
        <w:jc w:val="both"/>
        <w:rPr>
          <w:rFonts w:ascii="Calibri" w:hAnsi="Calibri" w:cs="Calibri"/>
          <w:sz w:val="24"/>
          <w:szCs w:val="24"/>
        </w:rPr>
      </w:pPr>
      <w:r>
        <w:rPr>
          <w:rFonts w:ascii="Calibri" w:hAnsi="Calibri" w:cs="Calibri"/>
          <w:sz w:val="24"/>
          <w:szCs w:val="24"/>
        </w:rPr>
        <w:t xml:space="preserve">1) konto </w:t>
      </w:r>
      <w:r>
        <w:rPr>
          <w:rFonts w:ascii="Calibri" w:hAnsi="Calibri" w:cs="Calibri"/>
          <w:b/>
          <w:bCs/>
          <w:sz w:val="24"/>
          <w:szCs w:val="24"/>
        </w:rPr>
        <w:t>101 – „Kasa”</w:t>
      </w:r>
      <w:r>
        <w:rPr>
          <w:rFonts w:ascii="Calibri" w:hAnsi="Calibri" w:cs="Calibri"/>
          <w:sz w:val="24"/>
          <w:szCs w:val="24"/>
        </w:rPr>
        <w:t xml:space="preserve"> otrzymuje brzmienie:</w:t>
      </w:r>
    </w:p>
    <w:p w14:paraId="40EBE9F8" w14:textId="77777777" w:rsidR="0072260D" w:rsidRDefault="0072260D" w:rsidP="0072260D">
      <w:pPr>
        <w:pStyle w:val="nop4"/>
        <w:spacing w:before="0" w:beforeAutospacing="0" w:after="0" w:afterAutospacing="0" w:line="360" w:lineRule="auto"/>
        <w:jc w:val="both"/>
        <w:rPr>
          <w:rFonts w:ascii="Calibri" w:hAnsi="Calibri" w:cs="Calibri"/>
        </w:rPr>
      </w:pPr>
      <w:r>
        <w:rPr>
          <w:rFonts w:ascii="Calibri" w:hAnsi="Calibri" w:cs="Calibri"/>
        </w:rPr>
        <w:t>„Konto 101 służy do ewidencji gotówki znajdującej się w kasie jednostki.</w:t>
      </w:r>
    </w:p>
    <w:p w14:paraId="357B9A06" w14:textId="77777777" w:rsidR="0072260D" w:rsidRDefault="0072260D" w:rsidP="0072260D">
      <w:pPr>
        <w:pStyle w:val="nop4"/>
        <w:spacing w:before="0" w:beforeAutospacing="0" w:after="0" w:afterAutospacing="0" w:line="360" w:lineRule="auto"/>
        <w:jc w:val="both"/>
        <w:rPr>
          <w:rFonts w:ascii="Calibri" w:hAnsi="Calibri" w:cs="Calibri"/>
        </w:rPr>
      </w:pPr>
      <w:r>
        <w:rPr>
          <w:rFonts w:ascii="Calibri" w:hAnsi="Calibri" w:cs="Calibri"/>
        </w:rPr>
        <w:t xml:space="preserve">Na stronie </w:t>
      </w:r>
      <w:proofErr w:type="spellStart"/>
      <w:r>
        <w:rPr>
          <w:rFonts w:ascii="Calibri" w:hAnsi="Calibri" w:cs="Calibri"/>
        </w:rPr>
        <w:t>Wn</w:t>
      </w:r>
      <w:proofErr w:type="spellEnd"/>
      <w:r>
        <w:rPr>
          <w:rFonts w:ascii="Calibri" w:hAnsi="Calibri" w:cs="Calibri"/>
        </w:rPr>
        <w:t xml:space="preserve"> konta 101 ujmuje się wpływy gotówki oraz nadwyżki kasowe, a na stronie Ma – rozchody gotówki i niedobory kasowe.</w:t>
      </w:r>
    </w:p>
    <w:p w14:paraId="61D0A43B" w14:textId="77777777" w:rsidR="0072260D" w:rsidRDefault="0072260D" w:rsidP="0072260D">
      <w:pPr>
        <w:pStyle w:val="western"/>
        <w:spacing w:before="0" w:beforeAutospacing="0" w:line="360" w:lineRule="auto"/>
        <w:ind w:firstLine="708"/>
        <w:jc w:val="both"/>
        <w:rPr>
          <w:rFonts w:ascii="Calibri" w:hAnsi="Calibri" w:cs="Calibri"/>
          <w:sz w:val="24"/>
          <w:szCs w:val="24"/>
        </w:rPr>
      </w:pPr>
      <w:r>
        <w:rPr>
          <w:rFonts w:ascii="Calibri" w:hAnsi="Calibri" w:cs="Calibri"/>
          <w:sz w:val="24"/>
          <w:szCs w:val="24"/>
        </w:rPr>
        <w:lastRenderedPageBreak/>
        <w:t>Do konta 101 prowadzi się ewidencję szczegółową w postaci raportów kasowych prowadzonych na podstawie źródłowych dokumentów wymienionych pojedynczo, oddzielnie dla transakcji gotówkowych i bezgotówkowych.</w:t>
      </w:r>
    </w:p>
    <w:p w14:paraId="1C395349" w14:textId="77777777" w:rsidR="0072260D" w:rsidRDefault="0072260D" w:rsidP="0072260D">
      <w:pPr>
        <w:pStyle w:val="western"/>
        <w:spacing w:before="0" w:beforeAutospacing="0" w:line="360" w:lineRule="auto"/>
        <w:jc w:val="both"/>
        <w:rPr>
          <w:rFonts w:ascii="Calibri" w:hAnsi="Calibri" w:cs="Calibri"/>
          <w:sz w:val="24"/>
          <w:szCs w:val="24"/>
        </w:rPr>
      </w:pPr>
      <w:r>
        <w:rPr>
          <w:rFonts w:ascii="Calibri" w:hAnsi="Calibri" w:cs="Calibri"/>
          <w:sz w:val="24"/>
          <w:szCs w:val="24"/>
        </w:rPr>
        <w:t xml:space="preserve">Konto 101 może wykazywać saldo </w:t>
      </w:r>
      <w:proofErr w:type="spellStart"/>
      <w:r>
        <w:rPr>
          <w:rFonts w:ascii="Calibri" w:hAnsi="Calibri" w:cs="Calibri"/>
          <w:sz w:val="24"/>
          <w:szCs w:val="24"/>
        </w:rPr>
        <w:t>Wn</w:t>
      </w:r>
      <w:proofErr w:type="spellEnd"/>
      <w:r>
        <w:rPr>
          <w:rFonts w:ascii="Calibri" w:hAnsi="Calibri" w:cs="Calibri"/>
          <w:sz w:val="24"/>
          <w:szCs w:val="24"/>
        </w:rPr>
        <w:t>, które oznacza stan gotówki w kasie.</w:t>
      </w:r>
    </w:p>
    <w:p w14:paraId="5E3CE7EB" w14:textId="77777777" w:rsidR="0072260D" w:rsidRDefault="0072260D" w:rsidP="0072260D">
      <w:pPr>
        <w:pStyle w:val="western"/>
        <w:spacing w:before="0" w:beforeAutospacing="0" w:line="360" w:lineRule="auto"/>
        <w:jc w:val="both"/>
        <w:rPr>
          <w:rFonts w:ascii="Calibri" w:hAnsi="Calibri" w:cs="Calibri"/>
          <w:sz w:val="24"/>
          <w:szCs w:val="24"/>
        </w:rPr>
      </w:pPr>
      <w:r>
        <w:rPr>
          <w:rFonts w:ascii="Calibri" w:hAnsi="Calibri" w:cs="Calibri"/>
          <w:sz w:val="24"/>
          <w:szCs w:val="24"/>
        </w:rPr>
        <w:t>Kasa Urzędu Gminy w Jednorożcu prowadzi obsługę kasową podległych jednostek tj.:</w:t>
      </w:r>
    </w:p>
    <w:p w14:paraId="6199F863" w14:textId="77777777" w:rsidR="0072260D" w:rsidRDefault="0072260D" w:rsidP="0072260D">
      <w:pPr>
        <w:pStyle w:val="western"/>
        <w:numPr>
          <w:ilvl w:val="0"/>
          <w:numId w:val="1"/>
        </w:numPr>
        <w:spacing w:before="0" w:beforeAutospacing="0" w:line="360" w:lineRule="auto"/>
        <w:jc w:val="both"/>
        <w:rPr>
          <w:rFonts w:ascii="Calibri" w:hAnsi="Calibri" w:cs="Calibri"/>
        </w:rPr>
      </w:pPr>
      <w:r>
        <w:rPr>
          <w:rFonts w:ascii="Calibri" w:hAnsi="Calibri" w:cs="Calibri"/>
          <w:sz w:val="24"/>
          <w:szCs w:val="24"/>
        </w:rPr>
        <w:t>Ośrodka Pomocy Społecznej w Jednorożcu,</w:t>
      </w:r>
    </w:p>
    <w:p w14:paraId="6ADADBE2" w14:textId="77777777" w:rsidR="0072260D" w:rsidRDefault="0072260D" w:rsidP="0072260D">
      <w:pPr>
        <w:pStyle w:val="western"/>
        <w:numPr>
          <w:ilvl w:val="0"/>
          <w:numId w:val="1"/>
        </w:numPr>
        <w:spacing w:before="0" w:beforeAutospacing="0" w:line="360" w:lineRule="auto"/>
        <w:jc w:val="both"/>
        <w:rPr>
          <w:rFonts w:ascii="Calibri" w:hAnsi="Calibri" w:cs="Calibri"/>
        </w:rPr>
      </w:pPr>
      <w:r>
        <w:rPr>
          <w:rFonts w:ascii="Calibri" w:hAnsi="Calibri" w:cs="Calibri"/>
          <w:sz w:val="24"/>
          <w:szCs w:val="24"/>
        </w:rPr>
        <w:t>Gminnego Zespołu Oświaty w Jednorożcu,</w:t>
      </w:r>
    </w:p>
    <w:p w14:paraId="693258D9" w14:textId="77777777" w:rsidR="0072260D" w:rsidRDefault="0072260D" w:rsidP="0072260D">
      <w:pPr>
        <w:pStyle w:val="western"/>
        <w:numPr>
          <w:ilvl w:val="0"/>
          <w:numId w:val="1"/>
        </w:numPr>
        <w:spacing w:before="0" w:beforeAutospacing="0" w:line="360" w:lineRule="auto"/>
        <w:jc w:val="both"/>
        <w:rPr>
          <w:rFonts w:ascii="Calibri" w:hAnsi="Calibri" w:cs="Calibri"/>
        </w:rPr>
      </w:pPr>
      <w:r>
        <w:rPr>
          <w:rFonts w:ascii="Calibri" w:hAnsi="Calibri" w:cs="Calibri"/>
          <w:sz w:val="24"/>
          <w:szCs w:val="24"/>
        </w:rPr>
        <w:t>Gminnej Biblioteki Publicznej w Jednorożcu,</w:t>
      </w:r>
    </w:p>
    <w:p w14:paraId="4B875E77" w14:textId="77777777" w:rsidR="0072260D" w:rsidRDefault="0072260D" w:rsidP="0072260D">
      <w:pPr>
        <w:pStyle w:val="western"/>
        <w:numPr>
          <w:ilvl w:val="0"/>
          <w:numId w:val="1"/>
        </w:numPr>
        <w:spacing w:before="0" w:beforeAutospacing="0" w:line="360" w:lineRule="auto"/>
        <w:jc w:val="both"/>
        <w:rPr>
          <w:rFonts w:ascii="Calibri" w:hAnsi="Calibri" w:cs="Calibri"/>
        </w:rPr>
      </w:pPr>
      <w:r>
        <w:rPr>
          <w:rFonts w:ascii="Calibri" w:hAnsi="Calibri" w:cs="Calibri"/>
          <w:sz w:val="24"/>
          <w:szCs w:val="24"/>
        </w:rPr>
        <w:t>Zespołu Placówek Oświatowych w Jednorożcu,</w:t>
      </w:r>
    </w:p>
    <w:p w14:paraId="233FC8B5" w14:textId="77777777" w:rsidR="0072260D" w:rsidRDefault="0072260D" w:rsidP="0072260D">
      <w:pPr>
        <w:pStyle w:val="western"/>
        <w:numPr>
          <w:ilvl w:val="0"/>
          <w:numId w:val="1"/>
        </w:numPr>
        <w:spacing w:before="0" w:beforeAutospacing="0" w:line="360" w:lineRule="auto"/>
        <w:jc w:val="both"/>
        <w:rPr>
          <w:rFonts w:ascii="Calibri" w:hAnsi="Calibri" w:cs="Calibri"/>
        </w:rPr>
      </w:pPr>
      <w:r>
        <w:rPr>
          <w:rFonts w:ascii="Calibri" w:hAnsi="Calibri" w:cs="Calibri"/>
          <w:sz w:val="24"/>
          <w:szCs w:val="24"/>
        </w:rPr>
        <w:t>Szkoły Podstawowej w Olszewce,</w:t>
      </w:r>
    </w:p>
    <w:p w14:paraId="61039A8C" w14:textId="77777777" w:rsidR="0072260D" w:rsidRDefault="0072260D" w:rsidP="0072260D">
      <w:pPr>
        <w:pStyle w:val="western"/>
        <w:numPr>
          <w:ilvl w:val="0"/>
          <w:numId w:val="1"/>
        </w:numPr>
        <w:spacing w:before="0" w:beforeAutospacing="0" w:line="360" w:lineRule="auto"/>
        <w:jc w:val="both"/>
        <w:rPr>
          <w:rFonts w:ascii="Calibri" w:hAnsi="Calibri" w:cs="Calibri"/>
        </w:rPr>
      </w:pPr>
      <w:r>
        <w:rPr>
          <w:rFonts w:ascii="Calibri" w:hAnsi="Calibri" w:cs="Calibri"/>
          <w:sz w:val="24"/>
          <w:szCs w:val="24"/>
        </w:rPr>
        <w:t>Publicznej Szkoły Podstawowej Żelazna Rządowa – Parciaki z siedzibą w Parciakach,</w:t>
      </w:r>
    </w:p>
    <w:p w14:paraId="624CE20C" w14:textId="77777777" w:rsidR="0072260D" w:rsidRDefault="0072260D" w:rsidP="0072260D">
      <w:pPr>
        <w:pStyle w:val="western"/>
        <w:numPr>
          <w:ilvl w:val="0"/>
          <w:numId w:val="1"/>
        </w:numPr>
        <w:spacing w:before="0" w:beforeAutospacing="0" w:line="360" w:lineRule="auto"/>
        <w:jc w:val="both"/>
        <w:rPr>
          <w:rFonts w:ascii="Calibri" w:hAnsi="Calibri" w:cs="Calibri"/>
        </w:rPr>
      </w:pPr>
      <w:r>
        <w:rPr>
          <w:rFonts w:ascii="Calibri" w:hAnsi="Calibri" w:cs="Calibri"/>
          <w:sz w:val="24"/>
          <w:szCs w:val="24"/>
        </w:rPr>
        <w:t>Żłobka Samorządowego w Jednorożcu.</w:t>
      </w:r>
    </w:p>
    <w:p w14:paraId="3A88C37F" w14:textId="77777777" w:rsidR="0072260D" w:rsidRDefault="0072260D" w:rsidP="0072260D">
      <w:pPr>
        <w:pStyle w:val="western"/>
        <w:spacing w:before="0" w:beforeAutospacing="0" w:line="360" w:lineRule="auto"/>
        <w:jc w:val="both"/>
        <w:rPr>
          <w:rFonts w:ascii="Calibri" w:hAnsi="Calibri" w:cs="Calibri"/>
          <w:sz w:val="24"/>
          <w:szCs w:val="24"/>
        </w:rPr>
      </w:pPr>
      <w:r>
        <w:rPr>
          <w:rFonts w:ascii="Calibri" w:hAnsi="Calibri" w:cs="Calibri"/>
          <w:sz w:val="24"/>
          <w:szCs w:val="24"/>
        </w:rPr>
        <w:t xml:space="preserve">2) konto </w:t>
      </w:r>
      <w:r>
        <w:rPr>
          <w:rFonts w:ascii="Calibri" w:hAnsi="Calibri" w:cs="Calibri"/>
          <w:b/>
          <w:bCs/>
          <w:sz w:val="24"/>
          <w:szCs w:val="24"/>
        </w:rPr>
        <w:t>234 – „Pozostałe rozrachunki z pracownikami”</w:t>
      </w:r>
      <w:r>
        <w:rPr>
          <w:rFonts w:ascii="Calibri" w:hAnsi="Calibri" w:cs="Calibri"/>
          <w:sz w:val="24"/>
          <w:szCs w:val="24"/>
        </w:rPr>
        <w:t xml:space="preserve"> otrzymuje brzmienie:</w:t>
      </w:r>
    </w:p>
    <w:p w14:paraId="2BC0B083" w14:textId="77777777" w:rsidR="0072260D" w:rsidRDefault="0072260D" w:rsidP="0072260D">
      <w:pPr>
        <w:pStyle w:val="nop4"/>
        <w:spacing w:before="0" w:beforeAutospacing="0" w:after="0" w:afterAutospacing="0" w:line="360" w:lineRule="auto"/>
        <w:jc w:val="both"/>
        <w:rPr>
          <w:rFonts w:ascii="Calibri" w:hAnsi="Calibri" w:cs="Calibri"/>
        </w:rPr>
      </w:pPr>
      <w:r>
        <w:rPr>
          <w:rFonts w:ascii="Calibri" w:hAnsi="Calibri" w:cs="Calibri"/>
        </w:rPr>
        <w:t>„Konto 234 służy do ewidencji należności, roszczeń i zobowiązań wobec pracowników z innych tytułów niż wynagrodzenia.</w:t>
      </w:r>
    </w:p>
    <w:p w14:paraId="1A404F1C" w14:textId="77777777" w:rsidR="0072260D" w:rsidRDefault="0072260D" w:rsidP="0072260D">
      <w:pPr>
        <w:pStyle w:val="nop4"/>
        <w:spacing w:before="0" w:beforeAutospacing="0" w:after="0" w:afterAutospacing="0" w:line="360" w:lineRule="auto"/>
        <w:ind w:firstLine="708"/>
        <w:jc w:val="both"/>
        <w:rPr>
          <w:rFonts w:ascii="Calibri" w:hAnsi="Calibri" w:cs="Calibri"/>
        </w:rPr>
      </w:pPr>
      <w:r>
        <w:rPr>
          <w:rFonts w:ascii="Calibri" w:hAnsi="Calibri" w:cs="Calibri"/>
        </w:rPr>
        <w:t xml:space="preserve">Na koncie 234 księguje się m.in zobowiązania z tytułu ekwiwalentów wypłacanych za używanie własnej odzieży, przejazdy służbowe własnym samochodem pracownika, ryczałt za jazdy lokalne, dofinansowanie zakupu okularów pracownika, wydatki poniesione przez pracownika z własnych środków na rzecz jednostki. </w:t>
      </w:r>
    </w:p>
    <w:p w14:paraId="30279D85" w14:textId="77777777" w:rsidR="0072260D" w:rsidRDefault="0072260D" w:rsidP="0072260D">
      <w:pPr>
        <w:pStyle w:val="nop4"/>
        <w:spacing w:before="0" w:beforeAutospacing="0" w:after="0" w:afterAutospacing="0" w:line="360" w:lineRule="auto"/>
        <w:ind w:firstLine="708"/>
        <w:jc w:val="both"/>
        <w:rPr>
          <w:rFonts w:ascii="Calibri" w:hAnsi="Calibri" w:cs="Calibri"/>
        </w:rPr>
      </w:pPr>
      <w:r>
        <w:rPr>
          <w:rFonts w:ascii="Calibri" w:hAnsi="Calibri" w:cs="Calibri"/>
        </w:rPr>
        <w:t xml:space="preserve">Na stronie </w:t>
      </w:r>
      <w:proofErr w:type="spellStart"/>
      <w:r>
        <w:rPr>
          <w:rFonts w:ascii="Calibri" w:hAnsi="Calibri" w:cs="Calibri"/>
        </w:rPr>
        <w:t>Wn</w:t>
      </w:r>
      <w:proofErr w:type="spellEnd"/>
      <w:r>
        <w:rPr>
          <w:rFonts w:ascii="Calibri" w:hAnsi="Calibri" w:cs="Calibri"/>
        </w:rPr>
        <w:t xml:space="preserve"> konta 234 ujmuje się w szczególności:</w:t>
      </w:r>
    </w:p>
    <w:p w14:paraId="7AD2C191" w14:textId="77777777" w:rsidR="0072260D" w:rsidRDefault="0072260D" w:rsidP="0072260D">
      <w:pPr>
        <w:pStyle w:val="p3"/>
        <w:numPr>
          <w:ilvl w:val="1"/>
          <w:numId w:val="2"/>
        </w:numPr>
        <w:spacing w:before="0" w:beforeAutospacing="0" w:after="0" w:afterAutospacing="0" w:line="360" w:lineRule="auto"/>
        <w:jc w:val="both"/>
        <w:rPr>
          <w:rFonts w:ascii="Calibri" w:hAnsi="Calibri" w:cs="Calibri"/>
        </w:rPr>
      </w:pPr>
      <w:r>
        <w:rPr>
          <w:rFonts w:ascii="Calibri" w:hAnsi="Calibri" w:cs="Calibri"/>
        </w:rPr>
        <w:t>wypłacone pracownikom zaliczki i sumy do rozliczenia na wydatki obciążające jednostkę;</w:t>
      </w:r>
    </w:p>
    <w:p w14:paraId="0258D81B" w14:textId="77777777" w:rsidR="0072260D" w:rsidRDefault="0072260D" w:rsidP="0072260D">
      <w:pPr>
        <w:pStyle w:val="p3"/>
        <w:numPr>
          <w:ilvl w:val="1"/>
          <w:numId w:val="2"/>
        </w:numPr>
        <w:spacing w:before="0" w:beforeAutospacing="0" w:after="0" w:afterAutospacing="0" w:line="360" w:lineRule="auto"/>
        <w:jc w:val="both"/>
        <w:rPr>
          <w:rFonts w:ascii="Calibri" w:hAnsi="Calibri" w:cs="Calibri"/>
        </w:rPr>
      </w:pPr>
      <w:r>
        <w:rPr>
          <w:rFonts w:ascii="Calibri" w:hAnsi="Calibri" w:cs="Calibri"/>
        </w:rPr>
        <w:t>należności od pracowników z tytułu dokonanych przez jednostkę świadczeń odpłatnych;</w:t>
      </w:r>
    </w:p>
    <w:p w14:paraId="2567442D" w14:textId="77777777" w:rsidR="0072260D" w:rsidRDefault="0072260D" w:rsidP="0072260D">
      <w:pPr>
        <w:pStyle w:val="p3"/>
        <w:numPr>
          <w:ilvl w:val="1"/>
          <w:numId w:val="2"/>
        </w:numPr>
        <w:spacing w:before="0" w:beforeAutospacing="0" w:after="0" w:afterAutospacing="0" w:line="360" w:lineRule="auto"/>
        <w:jc w:val="both"/>
        <w:rPr>
          <w:rFonts w:ascii="Calibri" w:hAnsi="Calibri" w:cs="Calibri"/>
        </w:rPr>
      </w:pPr>
      <w:r>
        <w:rPr>
          <w:rFonts w:ascii="Calibri" w:hAnsi="Calibri" w:cs="Calibri"/>
        </w:rPr>
        <w:t>należności z tytułu pożyczek z zakładowego funduszu świadczeń socjalnych;</w:t>
      </w:r>
    </w:p>
    <w:p w14:paraId="05AF26F4" w14:textId="77777777" w:rsidR="0072260D" w:rsidRDefault="0072260D" w:rsidP="0072260D">
      <w:pPr>
        <w:pStyle w:val="p3"/>
        <w:numPr>
          <w:ilvl w:val="1"/>
          <w:numId w:val="2"/>
        </w:numPr>
        <w:spacing w:before="0" w:beforeAutospacing="0" w:after="0" w:afterAutospacing="0" w:line="360" w:lineRule="auto"/>
        <w:jc w:val="both"/>
        <w:rPr>
          <w:rFonts w:ascii="Calibri" w:hAnsi="Calibri" w:cs="Calibri"/>
        </w:rPr>
      </w:pPr>
      <w:r>
        <w:rPr>
          <w:rFonts w:ascii="Calibri" w:hAnsi="Calibri" w:cs="Calibri"/>
        </w:rPr>
        <w:t>należności i roszczenia od pracowników z tytułu niedoborów i szkód;</w:t>
      </w:r>
    </w:p>
    <w:p w14:paraId="2B761664" w14:textId="77777777" w:rsidR="0072260D" w:rsidRDefault="0072260D" w:rsidP="0072260D">
      <w:pPr>
        <w:pStyle w:val="p3"/>
        <w:numPr>
          <w:ilvl w:val="1"/>
          <w:numId w:val="2"/>
        </w:numPr>
        <w:spacing w:before="0" w:beforeAutospacing="0" w:after="0" w:afterAutospacing="0" w:line="360" w:lineRule="auto"/>
        <w:jc w:val="both"/>
        <w:rPr>
          <w:rFonts w:ascii="Calibri" w:hAnsi="Calibri" w:cs="Calibri"/>
        </w:rPr>
      </w:pPr>
      <w:r>
        <w:rPr>
          <w:rFonts w:ascii="Calibri" w:hAnsi="Calibri" w:cs="Calibri"/>
        </w:rPr>
        <w:t>zapłacone zobowiązania wobec pracowników.</w:t>
      </w:r>
    </w:p>
    <w:p w14:paraId="6C45B332" w14:textId="77777777" w:rsidR="0072260D" w:rsidRDefault="0072260D" w:rsidP="0072260D">
      <w:pPr>
        <w:pStyle w:val="nop4"/>
        <w:spacing w:before="0" w:beforeAutospacing="0" w:after="0" w:afterAutospacing="0" w:line="360" w:lineRule="auto"/>
        <w:ind w:firstLine="708"/>
        <w:jc w:val="both"/>
        <w:rPr>
          <w:rFonts w:ascii="Calibri" w:hAnsi="Calibri" w:cs="Calibri"/>
        </w:rPr>
      </w:pPr>
      <w:r>
        <w:rPr>
          <w:rFonts w:ascii="Calibri" w:hAnsi="Calibri" w:cs="Calibri"/>
        </w:rPr>
        <w:t>Na stronie Ma konta 234 ujmuje się w szczególności:</w:t>
      </w:r>
    </w:p>
    <w:p w14:paraId="48F88032" w14:textId="77777777" w:rsidR="0072260D" w:rsidRDefault="0072260D" w:rsidP="0072260D">
      <w:pPr>
        <w:pStyle w:val="p3"/>
        <w:numPr>
          <w:ilvl w:val="1"/>
          <w:numId w:val="3"/>
        </w:numPr>
        <w:spacing w:before="0" w:beforeAutospacing="0" w:after="0" w:afterAutospacing="0" w:line="360" w:lineRule="auto"/>
        <w:jc w:val="both"/>
        <w:rPr>
          <w:rFonts w:ascii="Calibri" w:hAnsi="Calibri" w:cs="Calibri"/>
        </w:rPr>
      </w:pPr>
      <w:r>
        <w:rPr>
          <w:rFonts w:ascii="Calibri" w:hAnsi="Calibri" w:cs="Calibri"/>
        </w:rPr>
        <w:t>wydatki wyłożone przez pracowników w imieniu jednostki;</w:t>
      </w:r>
    </w:p>
    <w:p w14:paraId="005AE1E6" w14:textId="77777777" w:rsidR="0072260D" w:rsidRDefault="0072260D" w:rsidP="0072260D">
      <w:pPr>
        <w:pStyle w:val="p3"/>
        <w:numPr>
          <w:ilvl w:val="1"/>
          <w:numId w:val="3"/>
        </w:numPr>
        <w:spacing w:before="0" w:beforeAutospacing="0" w:after="0" w:afterAutospacing="0" w:line="360" w:lineRule="auto"/>
        <w:jc w:val="both"/>
        <w:rPr>
          <w:rFonts w:ascii="Calibri" w:hAnsi="Calibri" w:cs="Calibri"/>
        </w:rPr>
      </w:pPr>
      <w:r>
        <w:rPr>
          <w:rFonts w:ascii="Calibri" w:hAnsi="Calibri" w:cs="Calibri"/>
        </w:rPr>
        <w:t>rozliczone zaliczki i zwroty środków pieniężnych;</w:t>
      </w:r>
    </w:p>
    <w:p w14:paraId="3998DEF7" w14:textId="77777777" w:rsidR="0072260D" w:rsidRDefault="0072260D" w:rsidP="0072260D">
      <w:pPr>
        <w:pStyle w:val="p3"/>
        <w:numPr>
          <w:ilvl w:val="1"/>
          <w:numId w:val="3"/>
        </w:numPr>
        <w:spacing w:before="0" w:beforeAutospacing="0" w:after="0" w:afterAutospacing="0" w:line="360" w:lineRule="auto"/>
        <w:jc w:val="both"/>
        <w:rPr>
          <w:rFonts w:ascii="Calibri" w:hAnsi="Calibri" w:cs="Calibri"/>
        </w:rPr>
      </w:pPr>
      <w:r>
        <w:rPr>
          <w:rFonts w:ascii="Calibri" w:hAnsi="Calibri" w:cs="Calibri"/>
        </w:rPr>
        <w:t>wpływy należności od pracowników.</w:t>
      </w:r>
    </w:p>
    <w:p w14:paraId="38AE7C3B" w14:textId="77777777" w:rsidR="0072260D" w:rsidRDefault="0072260D" w:rsidP="0072260D">
      <w:pPr>
        <w:pStyle w:val="nop4"/>
        <w:spacing w:before="0" w:beforeAutospacing="0" w:after="0" w:afterAutospacing="0" w:line="360" w:lineRule="auto"/>
        <w:ind w:firstLine="708"/>
        <w:jc w:val="both"/>
        <w:rPr>
          <w:rFonts w:ascii="Calibri" w:hAnsi="Calibri" w:cs="Calibri"/>
        </w:rPr>
      </w:pPr>
      <w:r>
        <w:rPr>
          <w:rFonts w:ascii="Calibri" w:hAnsi="Calibri" w:cs="Calibri"/>
        </w:rPr>
        <w:lastRenderedPageBreak/>
        <w:t>Zaliczki wypłacone pracownikom w walutach obcych można ujmować, do czasu ich rozliczenia, w równowartości waluty polskiej ustalonej przy wypłacie zaliczki.</w:t>
      </w:r>
    </w:p>
    <w:p w14:paraId="18E0A4C6" w14:textId="77777777" w:rsidR="0072260D" w:rsidRDefault="0072260D" w:rsidP="0072260D">
      <w:pPr>
        <w:pStyle w:val="nop4"/>
        <w:spacing w:before="0" w:beforeAutospacing="0" w:after="0" w:afterAutospacing="0" w:line="360" w:lineRule="auto"/>
        <w:ind w:firstLine="708"/>
        <w:jc w:val="both"/>
        <w:rPr>
          <w:rFonts w:ascii="Calibri" w:hAnsi="Calibri" w:cs="Calibri"/>
        </w:rPr>
      </w:pPr>
      <w:r>
        <w:rPr>
          <w:rFonts w:ascii="Calibri" w:hAnsi="Calibri" w:cs="Calibri"/>
        </w:rPr>
        <w:t>Ewidencja szczegółowa do konta 234 prowadzona jest poprzez dodawanie kolejnych numerów do konta oraz numeru kontrahenta określające tytuł należności, roszczenia i zobowiązania według poszczególnych pracowników.</w:t>
      </w:r>
    </w:p>
    <w:p w14:paraId="7D1E0263" w14:textId="77777777" w:rsidR="0072260D" w:rsidRDefault="0072260D" w:rsidP="0072260D">
      <w:pPr>
        <w:pStyle w:val="nop4"/>
        <w:spacing w:before="0" w:beforeAutospacing="0" w:after="0" w:afterAutospacing="0" w:line="360" w:lineRule="auto"/>
        <w:ind w:firstLine="708"/>
        <w:jc w:val="both"/>
        <w:rPr>
          <w:rFonts w:ascii="Calibri" w:hAnsi="Calibri" w:cs="Calibri"/>
        </w:rPr>
      </w:pPr>
      <w:r>
        <w:rPr>
          <w:rFonts w:ascii="Calibri" w:hAnsi="Calibri" w:cs="Calibri"/>
        </w:rPr>
        <w:t xml:space="preserve">Konto 234 może wykazywać dwa salda. Saldo </w:t>
      </w:r>
      <w:proofErr w:type="spellStart"/>
      <w:r>
        <w:rPr>
          <w:rFonts w:ascii="Calibri" w:hAnsi="Calibri" w:cs="Calibri"/>
        </w:rPr>
        <w:t>Wn</w:t>
      </w:r>
      <w:proofErr w:type="spellEnd"/>
      <w:r>
        <w:rPr>
          <w:rFonts w:ascii="Calibri" w:hAnsi="Calibri" w:cs="Calibri"/>
        </w:rPr>
        <w:t xml:space="preserve"> oznacza stan należności i roszczeń, a saldo Ma – stan zobowiązań wobec pracowników.”</w:t>
      </w:r>
    </w:p>
    <w:p w14:paraId="034E9498" w14:textId="77777777" w:rsidR="0072260D" w:rsidRDefault="0072260D" w:rsidP="0072260D">
      <w:pPr>
        <w:pStyle w:val="western"/>
        <w:spacing w:before="0" w:beforeAutospacing="0" w:line="360" w:lineRule="auto"/>
        <w:jc w:val="both"/>
        <w:rPr>
          <w:rFonts w:ascii="Calibri" w:hAnsi="Calibri" w:cs="Calibri"/>
          <w:sz w:val="24"/>
          <w:szCs w:val="24"/>
        </w:rPr>
      </w:pPr>
      <w:r>
        <w:rPr>
          <w:rFonts w:ascii="Calibri" w:hAnsi="Calibri" w:cs="Calibri"/>
          <w:sz w:val="24"/>
          <w:szCs w:val="24"/>
        </w:rPr>
        <w:t xml:space="preserve">3) konto </w:t>
      </w:r>
      <w:r>
        <w:rPr>
          <w:rFonts w:ascii="Calibri" w:hAnsi="Calibri" w:cs="Calibri"/>
          <w:b/>
          <w:bCs/>
          <w:sz w:val="24"/>
          <w:szCs w:val="24"/>
        </w:rPr>
        <w:t>240 – „Pozostałe rozrachunki”</w:t>
      </w:r>
      <w:r>
        <w:rPr>
          <w:rFonts w:ascii="Calibri" w:hAnsi="Calibri" w:cs="Calibri"/>
          <w:sz w:val="24"/>
          <w:szCs w:val="24"/>
        </w:rPr>
        <w:t xml:space="preserve"> otrzymuje brzmienie:</w:t>
      </w:r>
    </w:p>
    <w:p w14:paraId="78A72BCF"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„Konto 240 służy do ewidencji krajowych i zagranicznych należności i roszczeń oraz zobowiązań nieobjętych ewidencją na kontach 201–234. Konto 240 może być używane również do ewidencji pożyczek i różnego rodzaju rozliczeń, a także krótko-i długoterminowych należności funduszy celowych.</w:t>
      </w:r>
    </w:p>
    <w:p w14:paraId="4048A4EE" w14:textId="77777777" w:rsidR="0072260D" w:rsidRDefault="0072260D" w:rsidP="0072260D">
      <w:pPr>
        <w:pStyle w:val="NormalnyWeb"/>
        <w:spacing w:before="0" w:beforeAutospacing="0" w:line="360" w:lineRule="auto"/>
        <w:ind w:firstLine="360"/>
        <w:jc w:val="both"/>
        <w:rPr>
          <w:rFonts w:ascii="Calibri" w:hAnsi="Calibri" w:cs="Calibri"/>
        </w:rPr>
      </w:pPr>
      <w:r>
        <w:rPr>
          <w:rFonts w:ascii="Calibri" w:hAnsi="Calibri" w:cs="Calibri"/>
        </w:rPr>
        <w:t>Na koncie 240 ewidencjonuje się w szczególności:</w:t>
      </w:r>
    </w:p>
    <w:p w14:paraId="3DEC0B43" w14:textId="77777777" w:rsidR="0072260D" w:rsidRDefault="0072260D" w:rsidP="0072260D">
      <w:pPr>
        <w:pStyle w:val="NormalnyWeb"/>
        <w:numPr>
          <w:ilvl w:val="0"/>
          <w:numId w:val="4"/>
        </w:numPr>
        <w:spacing w:before="0" w:beforeAutospacing="0" w:line="360" w:lineRule="auto"/>
        <w:jc w:val="both"/>
        <w:rPr>
          <w:rFonts w:ascii="Calibri" w:hAnsi="Calibri" w:cs="Calibri"/>
        </w:rPr>
      </w:pPr>
      <w:r>
        <w:rPr>
          <w:rFonts w:ascii="Calibri" w:hAnsi="Calibri" w:cs="Calibri"/>
        </w:rPr>
        <w:t>rozrachunki dotyczące sum depozytowych m.in.: kaucje, wadia przetargowe, zabezpieczenia należytego wykonania umów,</w:t>
      </w:r>
    </w:p>
    <w:p w14:paraId="2378EA26" w14:textId="77777777" w:rsidR="0072260D" w:rsidRDefault="0072260D" w:rsidP="0072260D">
      <w:pPr>
        <w:pStyle w:val="NormalnyWeb"/>
        <w:numPr>
          <w:ilvl w:val="0"/>
          <w:numId w:val="4"/>
        </w:numPr>
        <w:spacing w:before="0" w:beforeAutospacing="0" w:line="360" w:lineRule="auto"/>
        <w:jc w:val="both"/>
        <w:rPr>
          <w:rFonts w:ascii="Calibri" w:hAnsi="Calibri" w:cs="Calibri"/>
        </w:rPr>
      </w:pPr>
      <w:r>
        <w:rPr>
          <w:rFonts w:ascii="Calibri" w:hAnsi="Calibri" w:cs="Calibri"/>
        </w:rPr>
        <w:t>rozliczenia niedoborów, szkód i nadwyżek,</w:t>
      </w:r>
    </w:p>
    <w:p w14:paraId="70BB815A" w14:textId="77777777" w:rsidR="0072260D" w:rsidRDefault="0072260D" w:rsidP="0072260D">
      <w:pPr>
        <w:pStyle w:val="NormalnyWeb"/>
        <w:numPr>
          <w:ilvl w:val="0"/>
          <w:numId w:val="4"/>
        </w:numPr>
        <w:spacing w:before="0" w:beforeAutospacing="0" w:line="360" w:lineRule="auto"/>
        <w:jc w:val="both"/>
        <w:rPr>
          <w:rFonts w:ascii="Calibri" w:hAnsi="Calibri" w:cs="Calibri"/>
        </w:rPr>
      </w:pPr>
      <w:r>
        <w:rPr>
          <w:rFonts w:ascii="Calibri" w:hAnsi="Calibri" w:cs="Calibri"/>
        </w:rPr>
        <w:t>rozrachunki dotyczące potrąceń dokonanych na listach wynagrodzeń z innych tytułów niż podatki i składki odprowadzane do ZUS,</w:t>
      </w:r>
    </w:p>
    <w:p w14:paraId="645E59D2" w14:textId="77777777" w:rsidR="0072260D" w:rsidRDefault="0072260D" w:rsidP="0072260D">
      <w:pPr>
        <w:pStyle w:val="NormalnyWeb"/>
        <w:numPr>
          <w:ilvl w:val="0"/>
          <w:numId w:val="4"/>
        </w:numPr>
        <w:spacing w:before="0" w:beforeAutospacing="0" w:line="360" w:lineRule="auto"/>
        <w:jc w:val="both"/>
        <w:rPr>
          <w:rFonts w:ascii="Calibri" w:hAnsi="Calibri" w:cs="Calibri"/>
        </w:rPr>
      </w:pPr>
      <w:r>
        <w:rPr>
          <w:rFonts w:ascii="Calibri" w:hAnsi="Calibri" w:cs="Calibri"/>
        </w:rPr>
        <w:t>rozrachunki z dostawcami oraz wykonawcami usług i robót dotyczących środków trwałych w budowie (inwestycji) i zakupu gotowych środków trwałych oraz wartości niematerialnych i prawnych,</w:t>
      </w:r>
    </w:p>
    <w:p w14:paraId="12A8BE82" w14:textId="77777777" w:rsidR="0072260D" w:rsidRDefault="0072260D" w:rsidP="0072260D">
      <w:pPr>
        <w:pStyle w:val="NormalnyWeb"/>
        <w:numPr>
          <w:ilvl w:val="0"/>
          <w:numId w:val="4"/>
        </w:numPr>
        <w:spacing w:before="0" w:beforeAutospacing="0" w:line="360" w:lineRule="auto"/>
        <w:jc w:val="both"/>
        <w:rPr>
          <w:rFonts w:ascii="Calibri" w:hAnsi="Calibri" w:cs="Calibri"/>
        </w:rPr>
      </w:pPr>
      <w:r>
        <w:rPr>
          <w:rFonts w:ascii="Calibri" w:hAnsi="Calibri" w:cs="Calibri"/>
        </w:rPr>
        <w:t>rozrachunki z tytułu zaliczek przekazanych na budowę środków trwałych wspólnie prowadzoną przez innych inwestorów,</w:t>
      </w:r>
    </w:p>
    <w:p w14:paraId="6EA1464F" w14:textId="77777777" w:rsidR="0072260D" w:rsidRDefault="0072260D" w:rsidP="0072260D">
      <w:pPr>
        <w:pStyle w:val="NormalnyWeb"/>
        <w:numPr>
          <w:ilvl w:val="0"/>
          <w:numId w:val="4"/>
        </w:numPr>
        <w:spacing w:before="0" w:beforeAutospacing="0" w:line="360" w:lineRule="auto"/>
        <w:jc w:val="both"/>
        <w:rPr>
          <w:rFonts w:ascii="Calibri" w:hAnsi="Calibri" w:cs="Calibri"/>
        </w:rPr>
      </w:pPr>
      <w:r>
        <w:rPr>
          <w:rFonts w:ascii="Calibri" w:hAnsi="Calibri" w:cs="Calibri"/>
        </w:rPr>
        <w:t>roszczenia sporne,</w:t>
      </w:r>
    </w:p>
    <w:p w14:paraId="3C1330AC" w14:textId="77777777" w:rsidR="0072260D" w:rsidRDefault="0072260D" w:rsidP="0072260D">
      <w:pPr>
        <w:pStyle w:val="NormalnyWeb"/>
        <w:numPr>
          <w:ilvl w:val="0"/>
          <w:numId w:val="4"/>
        </w:numPr>
        <w:spacing w:before="0" w:beforeAutospacing="0" w:line="360" w:lineRule="auto"/>
        <w:jc w:val="both"/>
        <w:rPr>
          <w:rFonts w:ascii="Calibri" w:hAnsi="Calibri" w:cs="Calibri"/>
        </w:rPr>
      </w:pPr>
      <w:r>
        <w:rPr>
          <w:rFonts w:ascii="Calibri" w:hAnsi="Calibri" w:cs="Calibri"/>
        </w:rPr>
        <w:t>rozrachunki z bankami z tytułu mylnego obciążenia i uznania rachunków bankowych.</w:t>
      </w:r>
    </w:p>
    <w:p w14:paraId="473F0695"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 xml:space="preserve">Na stronie </w:t>
      </w:r>
      <w:proofErr w:type="spellStart"/>
      <w:r>
        <w:rPr>
          <w:rFonts w:ascii="Calibri" w:hAnsi="Calibri" w:cs="Calibri"/>
        </w:rPr>
        <w:t>Wn</w:t>
      </w:r>
      <w:proofErr w:type="spellEnd"/>
      <w:r>
        <w:rPr>
          <w:rFonts w:ascii="Calibri" w:hAnsi="Calibri" w:cs="Calibri"/>
        </w:rPr>
        <w:t xml:space="preserve"> konta 240 ujmuje się powstałe należności i roszczenia oraz spłatę i zmniejszenie zobowiązań, a na stronie Ma – powstałe zobowiązania oraz spłatę i zmniejszenie należności i roszczeń.</w:t>
      </w:r>
    </w:p>
    <w:p w14:paraId="57EC62A3"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Ewidencja szczegółowa do konta 240 prowadzona jest poprzez dodawanie kolejnych numerów określających rozrachunki, roszczenia i rozliczenia według poszczególnych tytułów.</w:t>
      </w:r>
    </w:p>
    <w:p w14:paraId="2290DF42"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 xml:space="preserve">Konto 240 może mieć dwa salda. Saldo </w:t>
      </w:r>
      <w:proofErr w:type="spellStart"/>
      <w:r>
        <w:rPr>
          <w:rFonts w:ascii="Calibri" w:hAnsi="Calibri" w:cs="Calibri"/>
        </w:rPr>
        <w:t>Wn</w:t>
      </w:r>
      <w:proofErr w:type="spellEnd"/>
      <w:r>
        <w:rPr>
          <w:rFonts w:ascii="Calibri" w:hAnsi="Calibri" w:cs="Calibri"/>
        </w:rPr>
        <w:t xml:space="preserve"> oznacza stan należności i roszczeń, a saldo Ma – stan zobowiązań.”</w:t>
      </w:r>
    </w:p>
    <w:p w14:paraId="4FF05FFE" w14:textId="77777777" w:rsidR="0072260D" w:rsidRDefault="0072260D" w:rsidP="0072260D">
      <w:pPr>
        <w:pStyle w:val="NormalnyWeb"/>
        <w:spacing w:before="0" w:beforeAutospacing="0" w:line="360" w:lineRule="auto"/>
        <w:jc w:val="both"/>
        <w:rPr>
          <w:rFonts w:ascii="Calibri" w:hAnsi="Calibri" w:cs="Calibri"/>
        </w:rPr>
      </w:pPr>
    </w:p>
    <w:p w14:paraId="2AD1AADD"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lastRenderedPageBreak/>
        <w:t xml:space="preserve">4) skreśla się konto </w:t>
      </w:r>
      <w:r>
        <w:rPr>
          <w:rFonts w:ascii="Calibri" w:hAnsi="Calibri" w:cs="Calibri"/>
          <w:b/>
          <w:bCs/>
        </w:rPr>
        <w:t xml:space="preserve">700 – „Sprzedaż produktów i koszt ich wytworzenia” </w:t>
      </w:r>
      <w:r>
        <w:rPr>
          <w:rFonts w:ascii="Calibri" w:hAnsi="Calibri" w:cs="Calibri"/>
        </w:rPr>
        <w:t>oraz jego opis.</w:t>
      </w:r>
    </w:p>
    <w:p w14:paraId="4894A97D"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 xml:space="preserve">5) do opisu kont zespołu </w:t>
      </w:r>
      <w:r>
        <w:rPr>
          <w:rFonts w:ascii="Calibri" w:hAnsi="Calibri" w:cs="Calibri"/>
          <w:b/>
          <w:bCs/>
        </w:rPr>
        <w:t xml:space="preserve">4 – „Koszty według rodzajów” </w:t>
      </w:r>
      <w:r>
        <w:rPr>
          <w:rFonts w:ascii="Calibri" w:hAnsi="Calibri" w:cs="Calibri"/>
        </w:rPr>
        <w:t>– dodaje się zapis:</w:t>
      </w:r>
    </w:p>
    <w:p w14:paraId="0A370C03"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„W przypadkach zmniejszenia kosztów ujmowanych po stronie Ma kont zespołu 4 jednocześnie dokonuje się technicznego ujemnego zapisu celem uzyskania czystości obrotów na kontach”.</w:t>
      </w:r>
    </w:p>
    <w:p w14:paraId="7CD47C45" w14:textId="77777777" w:rsidR="0072260D" w:rsidRDefault="0072260D" w:rsidP="0072260D">
      <w:pPr>
        <w:pStyle w:val="western"/>
        <w:spacing w:before="0" w:beforeAutospacing="0" w:line="360" w:lineRule="auto"/>
        <w:jc w:val="both"/>
        <w:rPr>
          <w:rFonts w:ascii="Calibri" w:hAnsi="Calibri" w:cs="Calibri"/>
          <w:sz w:val="24"/>
          <w:szCs w:val="24"/>
        </w:rPr>
      </w:pPr>
      <w:r>
        <w:rPr>
          <w:rFonts w:ascii="Calibri" w:hAnsi="Calibri" w:cs="Calibri"/>
          <w:sz w:val="24"/>
          <w:szCs w:val="24"/>
        </w:rPr>
        <w:t xml:space="preserve">2. w </w:t>
      </w:r>
      <w:r>
        <w:rPr>
          <w:rFonts w:ascii="Calibri" w:hAnsi="Calibri" w:cs="Calibri"/>
          <w:b/>
          <w:bCs/>
          <w:sz w:val="24"/>
          <w:szCs w:val="24"/>
        </w:rPr>
        <w:t>załączniku Nr 3</w:t>
      </w:r>
      <w:r>
        <w:rPr>
          <w:rFonts w:ascii="Calibri" w:hAnsi="Calibri" w:cs="Calibri"/>
          <w:sz w:val="24"/>
          <w:szCs w:val="24"/>
        </w:rPr>
        <w:t xml:space="preserve"> pn.</w:t>
      </w:r>
      <w:r>
        <w:rPr>
          <w:rFonts w:ascii="Calibri" w:hAnsi="Calibri" w:cs="Calibri"/>
          <w:b/>
          <w:bCs/>
          <w:sz w:val="24"/>
          <w:szCs w:val="24"/>
        </w:rPr>
        <w:t xml:space="preserve"> </w:t>
      </w:r>
      <w:r>
        <w:rPr>
          <w:rFonts w:ascii="Calibri" w:hAnsi="Calibri" w:cs="Calibri"/>
          <w:sz w:val="24"/>
          <w:szCs w:val="24"/>
        </w:rPr>
        <w:t>Plan Kont Budżetu Gminy w Jednorożcu wprowadza się zmiany:</w:t>
      </w:r>
    </w:p>
    <w:p w14:paraId="7EB05135"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 xml:space="preserve">1) do opisu konta </w:t>
      </w:r>
      <w:r>
        <w:rPr>
          <w:rFonts w:ascii="Calibri" w:hAnsi="Calibri" w:cs="Calibri"/>
          <w:b/>
          <w:bCs/>
        </w:rPr>
        <w:t xml:space="preserve">901 – „Dochody budżetu </w:t>
      </w:r>
      <w:r>
        <w:rPr>
          <w:rFonts w:ascii="Calibri" w:hAnsi="Calibri" w:cs="Calibri"/>
        </w:rPr>
        <w:t>– dodaje się zapis:</w:t>
      </w:r>
    </w:p>
    <w:p w14:paraId="4D285F0E"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 xml:space="preserve">„W przypadku zmniejszenia dochodów ujmowanych po stronie </w:t>
      </w:r>
      <w:proofErr w:type="spellStart"/>
      <w:r>
        <w:rPr>
          <w:rFonts w:ascii="Calibri" w:hAnsi="Calibri" w:cs="Calibri"/>
        </w:rPr>
        <w:t>Wn</w:t>
      </w:r>
      <w:proofErr w:type="spellEnd"/>
      <w:r>
        <w:rPr>
          <w:rFonts w:ascii="Calibri" w:hAnsi="Calibri" w:cs="Calibri"/>
        </w:rPr>
        <w:t xml:space="preserve"> konta jednocześnie dokonuje się technicznego ujemnego zapisu celem uzyskania czystości obrotów”.</w:t>
      </w:r>
    </w:p>
    <w:p w14:paraId="20D37F38"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 xml:space="preserve">2) do opisu konta </w:t>
      </w:r>
      <w:r>
        <w:rPr>
          <w:rFonts w:ascii="Calibri" w:hAnsi="Calibri" w:cs="Calibri"/>
          <w:b/>
          <w:bCs/>
        </w:rPr>
        <w:t xml:space="preserve">902 – „Wydatki budżetu </w:t>
      </w:r>
      <w:r>
        <w:rPr>
          <w:rFonts w:ascii="Calibri" w:hAnsi="Calibri" w:cs="Calibri"/>
        </w:rPr>
        <w:t>– dodaje się zapis:</w:t>
      </w:r>
    </w:p>
    <w:p w14:paraId="6CC446BB"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„W przypadku zmniejszenia wydatków ujmowanych po stronie Ma konta jednocześnie dokonuje się technicznego ujemnego zapisu celem uzyskania czystości obrotów”.</w:t>
      </w:r>
    </w:p>
    <w:p w14:paraId="40DA6766"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 xml:space="preserve">3. w </w:t>
      </w:r>
      <w:r>
        <w:rPr>
          <w:rFonts w:ascii="Calibri" w:hAnsi="Calibri" w:cs="Calibri"/>
          <w:b/>
          <w:bCs/>
        </w:rPr>
        <w:t>załączniku Nr 6</w:t>
      </w:r>
      <w:r>
        <w:rPr>
          <w:rFonts w:ascii="Calibri" w:hAnsi="Calibri" w:cs="Calibri"/>
        </w:rPr>
        <w:t xml:space="preserve"> pn.</w:t>
      </w:r>
      <w:r>
        <w:rPr>
          <w:rFonts w:ascii="Calibri" w:hAnsi="Calibri" w:cs="Calibri"/>
          <w:b/>
          <w:bCs/>
        </w:rPr>
        <w:t xml:space="preserve"> </w:t>
      </w:r>
      <w:r>
        <w:rPr>
          <w:rFonts w:ascii="Calibri" w:hAnsi="Calibri" w:cs="Calibri"/>
        </w:rPr>
        <w:t>Instrukcja – Zasady sporządzania, obiegu i kontroli dokumentów księgowych w Urzędzie Gminy w Jednorożcu wprowadza się zmiany:</w:t>
      </w:r>
    </w:p>
    <w:p w14:paraId="15BD8A73"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1) § 8 ust 5. otrzymuje brzmienie:</w:t>
      </w:r>
    </w:p>
    <w:p w14:paraId="237521D0" w14:textId="77777777" w:rsidR="0072260D" w:rsidRDefault="0072260D" w:rsidP="0072260D">
      <w:pPr>
        <w:pStyle w:val="western"/>
        <w:spacing w:before="0" w:beforeAutospacing="0" w:line="360" w:lineRule="auto"/>
        <w:jc w:val="both"/>
        <w:rPr>
          <w:rFonts w:ascii="Calibri" w:hAnsi="Calibri" w:cs="Calibri"/>
          <w:sz w:val="24"/>
          <w:szCs w:val="24"/>
        </w:rPr>
      </w:pPr>
      <w:r>
        <w:rPr>
          <w:rFonts w:ascii="Calibri" w:hAnsi="Calibri" w:cs="Calibri"/>
          <w:sz w:val="24"/>
          <w:szCs w:val="24"/>
        </w:rPr>
        <w:t xml:space="preserve">„1. W przypadku otrzymania wizualizacji faktury i faktury dotyczącej tej samej transakcji pracownik komórki organizacyjnej przekazuje do referatu finansowo – księgowego ten dowód księgowy, który otrzymał jako pierwszy. Dowody księgowe dotyczącej tej samej transakcji otrzymane jako kolejne są przechowywane na merytorycznym stanowisku. </w:t>
      </w:r>
    </w:p>
    <w:p w14:paraId="5F9EFFB4" w14:textId="77777777" w:rsidR="0072260D" w:rsidRDefault="0072260D" w:rsidP="0072260D">
      <w:pPr>
        <w:pStyle w:val="western"/>
        <w:spacing w:before="0" w:beforeAutospacing="0" w:line="360" w:lineRule="auto"/>
        <w:jc w:val="both"/>
        <w:rPr>
          <w:rFonts w:ascii="Calibri" w:hAnsi="Calibri" w:cs="Calibri"/>
          <w:color w:val="EE0000"/>
          <w:sz w:val="24"/>
          <w:szCs w:val="24"/>
        </w:rPr>
      </w:pPr>
      <w:r>
        <w:rPr>
          <w:rFonts w:ascii="Calibri" w:hAnsi="Calibri" w:cs="Calibri"/>
          <w:sz w:val="24"/>
          <w:szCs w:val="24"/>
        </w:rPr>
        <w:t>2. W momencie otrzymania wizualizacji faktury pracownik merytoryczny niezwłocznie przekazuje ją do pracownika zajmującego się rozliczaniem podatku VAT.”</w:t>
      </w:r>
    </w:p>
    <w:p w14:paraId="71C47FBE"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 xml:space="preserve">2) w § 23 ust. 1 skreśla się wyrazy </w:t>
      </w:r>
      <w:r>
        <w:rPr>
          <w:rFonts w:ascii="Calibri" w:hAnsi="Calibri" w:cs="Calibri"/>
          <w:b/>
          <w:bCs/>
        </w:rPr>
        <w:t>„bloczki opłaty targowej”</w:t>
      </w:r>
      <w:r>
        <w:rPr>
          <w:rFonts w:ascii="Calibri" w:hAnsi="Calibri" w:cs="Calibri"/>
        </w:rPr>
        <w:t>.</w:t>
      </w:r>
    </w:p>
    <w:p w14:paraId="1A6596AF"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 xml:space="preserve">4. w </w:t>
      </w:r>
      <w:r>
        <w:rPr>
          <w:rFonts w:ascii="Calibri" w:hAnsi="Calibri" w:cs="Calibri"/>
          <w:b/>
          <w:bCs/>
        </w:rPr>
        <w:t>załączniku Nr 7</w:t>
      </w:r>
      <w:r>
        <w:rPr>
          <w:rFonts w:ascii="Calibri" w:hAnsi="Calibri" w:cs="Calibri"/>
        </w:rPr>
        <w:t xml:space="preserve"> pn.</w:t>
      </w:r>
      <w:r>
        <w:rPr>
          <w:rFonts w:ascii="Calibri" w:hAnsi="Calibri" w:cs="Calibri"/>
          <w:b/>
          <w:bCs/>
        </w:rPr>
        <w:t xml:space="preserve"> </w:t>
      </w:r>
      <w:r>
        <w:rPr>
          <w:rFonts w:ascii="Calibri" w:hAnsi="Calibri" w:cs="Calibri"/>
        </w:rPr>
        <w:t>Instrukcja dotycząca gospodarki kasowej w Urzędzie Gminy w Jednorożcu § 1 ust . otrzymuje brzmienie:</w:t>
      </w:r>
    </w:p>
    <w:p w14:paraId="46527863"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 xml:space="preserve">„1. Kasa w Urzędzie Gminy w Jednorożcu czynna jest od poniedziałku do piątku w godzinach 7.30 - 14.20. </w:t>
      </w:r>
    </w:p>
    <w:p w14:paraId="64E14C5F" w14:textId="77777777" w:rsidR="0072260D" w:rsidRDefault="0072260D" w:rsidP="0072260D">
      <w:pPr>
        <w:pStyle w:val="NormalnyWeb"/>
        <w:spacing w:before="0" w:beforeAutospacing="0" w:line="360" w:lineRule="auto"/>
        <w:jc w:val="both"/>
        <w:rPr>
          <w:rFonts w:ascii="Calibri" w:hAnsi="Calibri" w:cs="Calibri"/>
        </w:rPr>
      </w:pPr>
      <w:r>
        <w:rPr>
          <w:rFonts w:ascii="Calibri" w:hAnsi="Calibri" w:cs="Calibri"/>
        </w:rPr>
        <w:t>2. W przypadkach doraźnej zmiany godzin funkcjonowania kasy informację, o zmianie podaje się do publicznej wiadomości dla mieszkańców.”</w:t>
      </w:r>
    </w:p>
    <w:p w14:paraId="323BD39F" w14:textId="77777777" w:rsidR="0072260D" w:rsidRDefault="0072260D" w:rsidP="0072260D">
      <w:pPr>
        <w:pStyle w:val="western"/>
        <w:spacing w:before="0" w:beforeAutospacing="0" w:line="360" w:lineRule="auto"/>
        <w:jc w:val="both"/>
        <w:rPr>
          <w:rFonts w:ascii="Calibri" w:hAnsi="Calibri" w:cs="Calibri"/>
          <w:bCs/>
          <w:sz w:val="24"/>
          <w:szCs w:val="24"/>
        </w:rPr>
      </w:pPr>
      <w:r>
        <w:rPr>
          <w:rFonts w:ascii="Calibri" w:hAnsi="Calibri" w:cs="Calibri"/>
          <w:bCs/>
          <w:sz w:val="24"/>
          <w:szCs w:val="24"/>
        </w:rPr>
        <w:t>§ 2. Wykonanie zarządzenia powierza się Skarbnikowi Gminy i pracownikom Urzędu Gminy w Jednorożcu.</w:t>
      </w:r>
    </w:p>
    <w:p w14:paraId="3C323EF2" w14:textId="77777777" w:rsidR="0072260D" w:rsidRDefault="0072260D" w:rsidP="0072260D">
      <w:pPr>
        <w:pStyle w:val="western"/>
        <w:spacing w:before="0" w:beforeAutospacing="0" w:line="360" w:lineRule="auto"/>
        <w:jc w:val="both"/>
        <w:rPr>
          <w:rFonts w:ascii="Calibri" w:hAnsi="Calibri" w:cs="Calibri"/>
          <w:bCs/>
          <w:sz w:val="24"/>
          <w:szCs w:val="24"/>
        </w:rPr>
      </w:pPr>
      <w:r>
        <w:rPr>
          <w:rFonts w:ascii="Calibri" w:hAnsi="Calibri" w:cs="Calibri"/>
          <w:bCs/>
          <w:sz w:val="24"/>
          <w:szCs w:val="24"/>
        </w:rPr>
        <w:t>§ 3. Zarządzenie wchodzi w życie z dniem podpisania.</w:t>
      </w:r>
    </w:p>
    <w:p w14:paraId="66F3C229" w14:textId="5897319A" w:rsidR="00996B4D" w:rsidRPr="001D60D6" w:rsidRDefault="001D60D6" w:rsidP="001D60D6">
      <w:pPr>
        <w:ind w:left="5664" w:firstLine="708"/>
        <w:rPr>
          <w:rFonts w:ascii="Calibri" w:hAnsi="Calibri" w:cs="Calibri"/>
          <w:sz w:val="24"/>
          <w:szCs w:val="24"/>
        </w:rPr>
      </w:pPr>
      <w:r>
        <w:rPr>
          <w:rFonts w:ascii="Calibri" w:hAnsi="Calibri" w:cs="Calibri"/>
          <w:sz w:val="24"/>
          <w:szCs w:val="24"/>
        </w:rPr>
        <w:t xml:space="preserve">      </w:t>
      </w:r>
      <w:r w:rsidRPr="001D60D6">
        <w:rPr>
          <w:rFonts w:ascii="Calibri" w:hAnsi="Calibri" w:cs="Calibri"/>
          <w:sz w:val="24"/>
          <w:szCs w:val="24"/>
        </w:rPr>
        <w:t>Wójt</w:t>
      </w:r>
    </w:p>
    <w:p w14:paraId="3738749A" w14:textId="300BC303" w:rsidR="001D60D6" w:rsidRPr="001D60D6" w:rsidRDefault="001D60D6" w:rsidP="001D60D6">
      <w:pPr>
        <w:ind w:left="4956" w:firstLine="708"/>
        <w:rPr>
          <w:rFonts w:ascii="Calibri" w:hAnsi="Calibri" w:cs="Calibri"/>
          <w:sz w:val="24"/>
          <w:szCs w:val="24"/>
        </w:rPr>
      </w:pPr>
      <w:r w:rsidRPr="001D60D6">
        <w:rPr>
          <w:rFonts w:ascii="Calibri" w:hAnsi="Calibri" w:cs="Calibri"/>
          <w:sz w:val="24"/>
          <w:szCs w:val="24"/>
        </w:rPr>
        <w:t xml:space="preserve">/-/ mgr inż. Krzysztof </w:t>
      </w:r>
      <w:proofErr w:type="spellStart"/>
      <w:r w:rsidRPr="001D60D6">
        <w:rPr>
          <w:rFonts w:ascii="Calibri" w:hAnsi="Calibri" w:cs="Calibri"/>
          <w:sz w:val="24"/>
          <w:szCs w:val="24"/>
        </w:rPr>
        <w:t>Nizielski</w:t>
      </w:r>
      <w:proofErr w:type="spellEnd"/>
    </w:p>
    <w:sectPr w:rsidR="001D60D6" w:rsidRPr="001D60D6" w:rsidSect="0072260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57A6"/>
    <w:multiLevelType w:val="hybridMultilevel"/>
    <w:tmpl w:val="844AA27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856284"/>
    <w:multiLevelType w:val="hybridMultilevel"/>
    <w:tmpl w:val="0FEC2B50"/>
    <w:lvl w:ilvl="0" w:tplc="0415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44A5AC0"/>
    <w:multiLevelType w:val="hybridMultilevel"/>
    <w:tmpl w:val="6824C8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FBE2B2D"/>
    <w:multiLevelType w:val="hybridMultilevel"/>
    <w:tmpl w:val="3328F4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12422831">
    <w:abstractNumId w:val="0"/>
    <w:lvlOverride w:ilvl="0"/>
    <w:lvlOverride w:ilvl="1"/>
    <w:lvlOverride w:ilvl="2"/>
    <w:lvlOverride w:ilvl="3"/>
    <w:lvlOverride w:ilvl="4"/>
    <w:lvlOverride w:ilvl="5"/>
    <w:lvlOverride w:ilvl="6"/>
    <w:lvlOverride w:ilvl="7"/>
    <w:lvlOverride w:ilvl="8"/>
  </w:num>
  <w:num w:numId="2" w16cid:durableId="758911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8225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290227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12"/>
    <w:rsid w:val="001D60D6"/>
    <w:rsid w:val="006C4D12"/>
    <w:rsid w:val="0072260D"/>
    <w:rsid w:val="00996B4D"/>
    <w:rsid w:val="00D0065B"/>
    <w:rsid w:val="00E44D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99A0"/>
  <w15:chartTrackingRefBased/>
  <w15:docId w15:val="{E6B0DD58-2CF8-433F-B8F9-5855705B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C4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C4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C4D1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C4D1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C4D1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semiHidden/>
    <w:unhideWhenUsed/>
    <w:qFormat/>
    <w:rsid w:val="006C4D1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4D1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4D1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4D1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4D1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C4D1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C4D1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C4D1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C4D12"/>
    <w:rPr>
      <w:rFonts w:eastAsiaTheme="majorEastAsia" w:cstheme="majorBidi"/>
      <w:color w:val="0F4761" w:themeColor="accent1" w:themeShade="BF"/>
    </w:rPr>
  </w:style>
  <w:style w:type="character" w:customStyle="1" w:styleId="Nagwek6Znak">
    <w:name w:val="Nagłówek 6 Znak"/>
    <w:basedOn w:val="Domylnaczcionkaakapitu"/>
    <w:link w:val="Nagwek6"/>
    <w:semiHidden/>
    <w:rsid w:val="006C4D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4D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4D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4D12"/>
    <w:rPr>
      <w:rFonts w:eastAsiaTheme="majorEastAsia" w:cstheme="majorBidi"/>
      <w:color w:val="272727" w:themeColor="text1" w:themeTint="D8"/>
    </w:rPr>
  </w:style>
  <w:style w:type="paragraph" w:styleId="Tytu">
    <w:name w:val="Title"/>
    <w:basedOn w:val="Normalny"/>
    <w:next w:val="Normalny"/>
    <w:link w:val="TytuZnak"/>
    <w:uiPriority w:val="10"/>
    <w:qFormat/>
    <w:rsid w:val="006C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4D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4D1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4D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4D12"/>
    <w:pPr>
      <w:spacing w:before="160"/>
      <w:jc w:val="center"/>
    </w:pPr>
    <w:rPr>
      <w:i/>
      <w:iCs/>
      <w:color w:val="404040" w:themeColor="text1" w:themeTint="BF"/>
    </w:rPr>
  </w:style>
  <w:style w:type="character" w:customStyle="1" w:styleId="CytatZnak">
    <w:name w:val="Cytat Znak"/>
    <w:basedOn w:val="Domylnaczcionkaakapitu"/>
    <w:link w:val="Cytat"/>
    <w:uiPriority w:val="29"/>
    <w:rsid w:val="006C4D12"/>
    <w:rPr>
      <w:i/>
      <w:iCs/>
      <w:color w:val="404040" w:themeColor="text1" w:themeTint="BF"/>
    </w:rPr>
  </w:style>
  <w:style w:type="paragraph" w:styleId="Akapitzlist">
    <w:name w:val="List Paragraph"/>
    <w:basedOn w:val="Normalny"/>
    <w:uiPriority w:val="34"/>
    <w:qFormat/>
    <w:rsid w:val="006C4D12"/>
    <w:pPr>
      <w:ind w:left="720"/>
      <w:contextualSpacing/>
    </w:pPr>
  </w:style>
  <w:style w:type="character" w:styleId="Wyrnienieintensywne">
    <w:name w:val="Intense Emphasis"/>
    <w:basedOn w:val="Domylnaczcionkaakapitu"/>
    <w:uiPriority w:val="21"/>
    <w:qFormat/>
    <w:rsid w:val="006C4D12"/>
    <w:rPr>
      <w:i/>
      <w:iCs/>
      <w:color w:val="0F4761" w:themeColor="accent1" w:themeShade="BF"/>
    </w:rPr>
  </w:style>
  <w:style w:type="paragraph" w:styleId="Cytatintensywny">
    <w:name w:val="Intense Quote"/>
    <w:basedOn w:val="Normalny"/>
    <w:next w:val="Normalny"/>
    <w:link w:val="CytatintensywnyZnak"/>
    <w:uiPriority w:val="30"/>
    <w:qFormat/>
    <w:rsid w:val="006C4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C4D12"/>
    <w:rPr>
      <w:i/>
      <w:iCs/>
      <w:color w:val="0F4761" w:themeColor="accent1" w:themeShade="BF"/>
    </w:rPr>
  </w:style>
  <w:style w:type="character" w:styleId="Odwoanieintensywne">
    <w:name w:val="Intense Reference"/>
    <w:basedOn w:val="Domylnaczcionkaakapitu"/>
    <w:uiPriority w:val="32"/>
    <w:qFormat/>
    <w:rsid w:val="006C4D12"/>
    <w:rPr>
      <w:b/>
      <w:bCs/>
      <w:smallCaps/>
      <w:color w:val="0F4761" w:themeColor="accent1" w:themeShade="BF"/>
      <w:spacing w:val="5"/>
    </w:rPr>
  </w:style>
  <w:style w:type="paragraph" w:styleId="NormalnyWeb">
    <w:name w:val="Normal (Web)"/>
    <w:basedOn w:val="Normalny"/>
    <w:uiPriority w:val="99"/>
    <w:semiHidden/>
    <w:unhideWhenUsed/>
    <w:rsid w:val="0072260D"/>
    <w:pPr>
      <w:spacing w:before="100" w:beforeAutospacing="1" w:after="0" w:line="240" w:lineRule="auto"/>
    </w:pPr>
    <w:rPr>
      <w:rFonts w:ascii="Times New Roman" w:eastAsia="Times New Roman" w:hAnsi="Times New Roman" w:cs="Times New Roman"/>
      <w:kern w:val="0"/>
      <w:sz w:val="24"/>
      <w:szCs w:val="24"/>
      <w:lang w:eastAsia="pl-PL"/>
      <w14:ligatures w14:val="none"/>
    </w:rPr>
  </w:style>
  <w:style w:type="paragraph" w:customStyle="1" w:styleId="western">
    <w:name w:val="western"/>
    <w:basedOn w:val="Normalny"/>
    <w:uiPriority w:val="99"/>
    <w:rsid w:val="0072260D"/>
    <w:pPr>
      <w:spacing w:before="100" w:beforeAutospacing="1" w:after="0" w:line="240" w:lineRule="auto"/>
    </w:pPr>
    <w:rPr>
      <w:rFonts w:ascii="Times New Roman" w:eastAsia="Times New Roman" w:hAnsi="Times New Roman" w:cs="Times New Roman"/>
      <w:kern w:val="0"/>
      <w:sz w:val="28"/>
      <w:szCs w:val="28"/>
      <w:lang w:eastAsia="pl-PL"/>
      <w14:ligatures w14:val="none"/>
    </w:rPr>
  </w:style>
  <w:style w:type="paragraph" w:customStyle="1" w:styleId="nop4">
    <w:name w:val="nop4"/>
    <w:basedOn w:val="Normalny"/>
    <w:uiPriority w:val="99"/>
    <w:rsid w:val="0072260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3">
    <w:name w:val="p3"/>
    <w:basedOn w:val="Normalny"/>
    <w:uiPriority w:val="99"/>
    <w:rsid w:val="0072260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1150</Words>
  <Characters>6903</Characters>
  <Application>Microsoft Office Word</Application>
  <DocSecurity>0</DocSecurity>
  <Lines>57</Lines>
  <Paragraphs>16</Paragraphs>
  <ScaleCrop>false</ScaleCrop>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4</cp:revision>
  <cp:lastPrinted>2026-04-24T12:28:00Z</cp:lastPrinted>
  <dcterms:created xsi:type="dcterms:W3CDTF">2026-04-24T12:25:00Z</dcterms:created>
  <dcterms:modified xsi:type="dcterms:W3CDTF">2026-04-24T12:28:00Z</dcterms:modified>
</cp:coreProperties>
</file>