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948D6" w14:textId="77777777" w:rsidR="006B5E6F" w:rsidRPr="009D68C2" w:rsidRDefault="006B5E6F" w:rsidP="006B5E6F">
      <w:pPr>
        <w:pStyle w:val="Nagwek6"/>
        <w:jc w:val="center"/>
        <w:rPr>
          <w:rFonts w:ascii="Calibri" w:hAnsi="Calibri" w:cs="Calibri"/>
          <w:b/>
          <w:bCs/>
          <w:i w:val="0"/>
          <w:iCs w:val="0"/>
          <w:color w:val="auto"/>
          <w:sz w:val="24"/>
          <w:szCs w:val="24"/>
        </w:rPr>
      </w:pPr>
      <w:r w:rsidRPr="009D68C2">
        <w:rPr>
          <w:rFonts w:ascii="Calibri" w:hAnsi="Calibri" w:cs="Calibri"/>
          <w:b/>
          <w:bCs/>
          <w:i w:val="0"/>
          <w:iCs w:val="0"/>
          <w:sz w:val="24"/>
          <w:szCs w:val="24"/>
        </w:rPr>
        <w:t>Zarządzenie Nr 152/2022</w:t>
      </w:r>
    </w:p>
    <w:p w14:paraId="18ABE9D9" w14:textId="77777777" w:rsidR="006B5E6F" w:rsidRPr="009D68C2" w:rsidRDefault="006B5E6F" w:rsidP="006B5E6F">
      <w:pPr>
        <w:pStyle w:val="Nagwek6"/>
        <w:jc w:val="center"/>
        <w:rPr>
          <w:rFonts w:ascii="Calibri" w:hAnsi="Calibri" w:cs="Calibri"/>
          <w:b/>
          <w:bCs/>
          <w:i w:val="0"/>
          <w:iCs w:val="0"/>
          <w:sz w:val="24"/>
          <w:szCs w:val="24"/>
        </w:rPr>
      </w:pPr>
      <w:r w:rsidRPr="009D68C2">
        <w:rPr>
          <w:rFonts w:ascii="Calibri" w:hAnsi="Calibri" w:cs="Calibri"/>
          <w:b/>
          <w:bCs/>
          <w:i w:val="0"/>
          <w:iCs w:val="0"/>
          <w:sz w:val="24"/>
          <w:szCs w:val="24"/>
        </w:rPr>
        <w:t>Wójta Gminy Jednorożec</w:t>
      </w:r>
    </w:p>
    <w:p w14:paraId="1636F4D7" w14:textId="77777777" w:rsidR="006B5E6F" w:rsidRDefault="006B5E6F" w:rsidP="006B5E6F">
      <w:pPr>
        <w:pStyle w:val="western"/>
        <w:spacing w:before="0" w:beforeAutospacing="0" w:line="360" w:lineRule="auto"/>
        <w:jc w:val="center"/>
        <w:rPr>
          <w:rFonts w:ascii="Calibri" w:hAnsi="Calibri" w:cs="Calibri"/>
          <w:b/>
          <w:bCs/>
          <w:sz w:val="24"/>
          <w:szCs w:val="24"/>
        </w:rPr>
      </w:pPr>
      <w:r>
        <w:rPr>
          <w:rFonts w:ascii="Calibri" w:hAnsi="Calibri" w:cs="Calibri"/>
          <w:b/>
          <w:bCs/>
          <w:sz w:val="24"/>
          <w:szCs w:val="24"/>
        </w:rPr>
        <w:t>z dnia 30 grudnia 2022 roku</w:t>
      </w:r>
    </w:p>
    <w:p w14:paraId="555B88C3" w14:textId="77777777" w:rsidR="006B5E6F" w:rsidRDefault="006B5E6F" w:rsidP="006B5E6F">
      <w:pPr>
        <w:pStyle w:val="western"/>
        <w:spacing w:before="0" w:beforeAutospacing="0" w:line="360" w:lineRule="auto"/>
        <w:jc w:val="center"/>
        <w:rPr>
          <w:rFonts w:ascii="Calibri" w:hAnsi="Calibri" w:cs="Calibri"/>
          <w:sz w:val="24"/>
          <w:szCs w:val="24"/>
        </w:rPr>
      </w:pPr>
    </w:p>
    <w:p w14:paraId="339A8492" w14:textId="77777777" w:rsidR="006B5E6F" w:rsidRDefault="006B5E6F" w:rsidP="006B5E6F">
      <w:pPr>
        <w:pStyle w:val="western"/>
        <w:spacing w:before="0" w:beforeAutospacing="0" w:line="360" w:lineRule="auto"/>
        <w:jc w:val="center"/>
        <w:rPr>
          <w:rFonts w:ascii="Calibri" w:hAnsi="Calibri" w:cs="Calibri"/>
          <w:b/>
          <w:bCs/>
          <w:iCs/>
          <w:sz w:val="24"/>
          <w:szCs w:val="24"/>
        </w:rPr>
      </w:pPr>
      <w:r>
        <w:rPr>
          <w:rFonts w:ascii="Calibri" w:hAnsi="Calibri" w:cs="Calibri"/>
          <w:b/>
          <w:bCs/>
          <w:iCs/>
          <w:sz w:val="24"/>
          <w:szCs w:val="24"/>
        </w:rPr>
        <w:t>w sprawie zmiany Zarządzenia Nr 44/2012 Wójta Gminy Jednorożec z dnia 5 czerwca             2012 roku w sprawie ustalenia dokumentacji określającej: zasady prowadzenia rachunkowości, zakładowy plan kont dla Urzędu Gminy w Jednorożcu, plan kont                  dla budżetu Gminy Jednorożec, zasady rachunkowości i plan kont dla prowadzenia ewidencji podatków i opłat, sposób prowadzenia ksiąg rachunkowych i ochrony danych                 i ich zbiorów, w tym dowodów księgowych, ksiąg rachunkowych i innych dokumentów stanowiących podstawę dokonanych w nich zapisach oraz zasady sporządzania, obiegu               i kontroli dokumentów, instrukcję inwentaryzacji, a także instrukcję gospodarki kasowej                w Urzędzie Gminy w Jednorożcu</w:t>
      </w:r>
    </w:p>
    <w:p w14:paraId="49DCA5D0" w14:textId="77777777" w:rsidR="006B5E6F" w:rsidRDefault="006B5E6F" w:rsidP="006B5E6F">
      <w:pPr>
        <w:pStyle w:val="Standard"/>
        <w:spacing w:line="360" w:lineRule="auto"/>
        <w:jc w:val="both"/>
        <w:rPr>
          <w:rFonts w:ascii="Calibri" w:hAnsi="Calibri" w:cs="Calibri"/>
          <w:color w:val="FF0000"/>
        </w:rPr>
      </w:pPr>
    </w:p>
    <w:p w14:paraId="30D1EF0F" w14:textId="77777777" w:rsidR="006B5E6F" w:rsidRDefault="006B5E6F" w:rsidP="006B5E6F">
      <w:pPr>
        <w:pStyle w:val="western"/>
        <w:spacing w:before="0" w:beforeAutospacing="0" w:line="360" w:lineRule="auto"/>
        <w:ind w:firstLine="709"/>
        <w:jc w:val="both"/>
        <w:rPr>
          <w:rFonts w:ascii="Calibri" w:hAnsi="Calibri" w:cs="Calibri"/>
          <w:b/>
          <w:bCs/>
          <w:sz w:val="24"/>
          <w:szCs w:val="24"/>
        </w:rPr>
      </w:pPr>
      <w:r>
        <w:rPr>
          <w:rFonts w:ascii="Calibri" w:hAnsi="Calibri" w:cs="Calibri"/>
          <w:sz w:val="24"/>
          <w:szCs w:val="24"/>
        </w:rPr>
        <w:t xml:space="preserve">Na podstawie art. 10 ustawy z dnia 29 września 1994 roku o rachunkowości                (Dz. U. 2021 poz. 217 z </w:t>
      </w:r>
      <w:proofErr w:type="spellStart"/>
      <w:r>
        <w:rPr>
          <w:rFonts w:ascii="Calibri" w:hAnsi="Calibri" w:cs="Calibri"/>
          <w:sz w:val="24"/>
          <w:szCs w:val="24"/>
        </w:rPr>
        <w:t>późn</w:t>
      </w:r>
      <w:proofErr w:type="spellEnd"/>
      <w:r>
        <w:rPr>
          <w:rFonts w:ascii="Calibri" w:hAnsi="Calibri" w:cs="Calibri"/>
          <w:sz w:val="24"/>
          <w:szCs w:val="24"/>
        </w:rPr>
        <w:t xml:space="preserve">. zm.) oraz Rozporządzenia Ministra Rozwoju i Finansów z dnia 13 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(Dz. U. 2020 poz. 342), Rozporządzenia Ministra Rozwoju i Finansów  z dnia 11 stycznia 2022 roku w sprawie sprawozdawczości budżetowej (Dz. U. z 2022, poz. 144) oraz art.40 ustawy z dnia 27 sierpnia 2009 r. o finansach publicznych (Dz.U. 2021 r., poz. 305 z </w:t>
      </w:r>
      <w:proofErr w:type="spellStart"/>
      <w:r>
        <w:rPr>
          <w:rFonts w:ascii="Calibri" w:hAnsi="Calibri" w:cs="Calibri"/>
          <w:sz w:val="24"/>
          <w:szCs w:val="24"/>
        </w:rPr>
        <w:t>późn</w:t>
      </w:r>
      <w:proofErr w:type="spellEnd"/>
      <w:r>
        <w:rPr>
          <w:rFonts w:ascii="Calibri" w:hAnsi="Calibri" w:cs="Calibri"/>
          <w:sz w:val="24"/>
          <w:szCs w:val="24"/>
        </w:rPr>
        <w:t xml:space="preserve">. zm.) – </w:t>
      </w:r>
      <w:r>
        <w:rPr>
          <w:rFonts w:ascii="Calibri" w:hAnsi="Calibri" w:cs="Calibri"/>
          <w:b/>
          <w:bCs/>
          <w:sz w:val="24"/>
          <w:szCs w:val="24"/>
        </w:rPr>
        <w:t>zarządza się, co następuje:</w:t>
      </w:r>
    </w:p>
    <w:p w14:paraId="00CCEBC5" w14:textId="77777777" w:rsidR="006B5E6F" w:rsidRDefault="006B5E6F" w:rsidP="006B5E6F">
      <w:pPr>
        <w:pStyle w:val="western"/>
        <w:spacing w:before="0" w:beforeAutospacing="0" w:line="360" w:lineRule="auto"/>
        <w:rPr>
          <w:rFonts w:ascii="Calibri" w:hAnsi="Calibri" w:cs="Calibri"/>
          <w:bCs/>
          <w:sz w:val="24"/>
          <w:szCs w:val="24"/>
        </w:rPr>
      </w:pPr>
    </w:p>
    <w:p w14:paraId="507D8576" w14:textId="77777777" w:rsidR="006B5E6F" w:rsidRDefault="006B5E6F" w:rsidP="006B5E6F">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t xml:space="preserve">§ 1. . W zarządzeniu nr 44/2012 Wójta Gminy Jednorożec z dnia 5 czerwca 2012 roku z </w:t>
      </w:r>
      <w:proofErr w:type="spellStart"/>
      <w:r>
        <w:rPr>
          <w:rFonts w:ascii="Calibri" w:hAnsi="Calibri" w:cs="Calibri"/>
          <w:bCs/>
          <w:sz w:val="24"/>
          <w:szCs w:val="24"/>
        </w:rPr>
        <w:t>późn</w:t>
      </w:r>
      <w:proofErr w:type="spellEnd"/>
      <w:r>
        <w:rPr>
          <w:rFonts w:ascii="Calibri" w:hAnsi="Calibri" w:cs="Calibri"/>
          <w:bCs/>
          <w:sz w:val="24"/>
          <w:szCs w:val="24"/>
        </w:rPr>
        <w:t>. zm. wprowadza się następujące zmiany:</w:t>
      </w:r>
    </w:p>
    <w:p w14:paraId="7A75CFBD" w14:textId="77777777" w:rsidR="006B5E6F" w:rsidRDefault="006B5E6F" w:rsidP="006B5E6F">
      <w:pPr>
        <w:pStyle w:val="Standard"/>
        <w:spacing w:line="360" w:lineRule="auto"/>
        <w:jc w:val="both"/>
        <w:rPr>
          <w:rFonts w:ascii="Calibri" w:hAnsi="Calibri" w:cs="Calibri"/>
          <w:bCs/>
        </w:rPr>
      </w:pPr>
      <w:r>
        <w:rPr>
          <w:rFonts w:ascii="Calibri" w:hAnsi="Calibri" w:cs="Calibri"/>
          <w:b/>
        </w:rPr>
        <w:t>1.</w:t>
      </w:r>
      <w:r>
        <w:rPr>
          <w:rFonts w:ascii="Calibri" w:hAnsi="Calibri" w:cs="Calibri"/>
        </w:rPr>
        <w:t xml:space="preserve"> </w:t>
      </w:r>
      <w:r>
        <w:rPr>
          <w:rFonts w:ascii="Calibri" w:hAnsi="Calibri" w:cs="Calibri"/>
          <w:bCs/>
        </w:rPr>
        <w:t xml:space="preserve">W </w:t>
      </w:r>
      <w:r>
        <w:rPr>
          <w:rFonts w:ascii="Calibri" w:hAnsi="Calibri" w:cs="Calibri"/>
          <w:b/>
        </w:rPr>
        <w:t>załączniku Nr 2</w:t>
      </w:r>
      <w:r>
        <w:rPr>
          <w:rFonts w:ascii="Calibri" w:hAnsi="Calibri" w:cs="Calibri"/>
        </w:rPr>
        <w:t xml:space="preserve"> do </w:t>
      </w:r>
      <w:r>
        <w:rPr>
          <w:rFonts w:ascii="Calibri" w:hAnsi="Calibri" w:cs="Calibri"/>
          <w:bCs/>
        </w:rPr>
        <w:t xml:space="preserve">Zarządzenia Nr 44/2012 Wójta Gminy Jednorożec z dnia 5 czerwca 2012 roku z </w:t>
      </w:r>
      <w:proofErr w:type="spellStart"/>
      <w:r>
        <w:rPr>
          <w:rFonts w:ascii="Calibri" w:hAnsi="Calibri" w:cs="Calibri"/>
          <w:bCs/>
        </w:rPr>
        <w:t>późn</w:t>
      </w:r>
      <w:proofErr w:type="spellEnd"/>
      <w:r>
        <w:rPr>
          <w:rFonts w:ascii="Calibri" w:hAnsi="Calibri" w:cs="Calibri"/>
          <w:bCs/>
        </w:rPr>
        <w:t>. zm. dodaje się konta:</w:t>
      </w:r>
    </w:p>
    <w:p w14:paraId="14AF8318" w14:textId="77777777" w:rsidR="006B5E6F" w:rsidRDefault="006B5E6F" w:rsidP="006B5E6F">
      <w:pPr>
        <w:pStyle w:val="western"/>
        <w:spacing w:before="0" w:beforeAutospacing="0" w:line="360" w:lineRule="auto"/>
        <w:jc w:val="both"/>
        <w:rPr>
          <w:rFonts w:ascii="Calibri" w:hAnsi="Calibri" w:cs="Calibri"/>
          <w:b/>
          <w:bCs/>
          <w:sz w:val="24"/>
          <w:szCs w:val="24"/>
        </w:rPr>
      </w:pPr>
      <w:r>
        <w:rPr>
          <w:rFonts w:ascii="Calibri" w:hAnsi="Calibri" w:cs="Calibri"/>
          <w:bCs/>
          <w:sz w:val="24"/>
          <w:szCs w:val="24"/>
        </w:rPr>
        <w:t xml:space="preserve">1) Konto 300 – </w:t>
      </w:r>
      <w:r>
        <w:rPr>
          <w:rFonts w:ascii="Calibri" w:hAnsi="Calibri" w:cs="Calibri"/>
          <w:b/>
          <w:bCs/>
          <w:sz w:val="24"/>
          <w:szCs w:val="24"/>
        </w:rPr>
        <w:t>„Rozliczenie zakupu”</w:t>
      </w:r>
    </w:p>
    <w:p w14:paraId="2C44E5E5" w14:textId="77777777" w:rsidR="006B5E6F" w:rsidRDefault="006B5E6F" w:rsidP="006B5E6F">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Konto służy do ewidencji rozliczenia zakupu materiałów, towarów, robót i usług wszystkich rodzajów działalności, a w szczególności do ustalenia wartości materiałów i towarów w </w:t>
      </w:r>
      <w:r>
        <w:rPr>
          <w:rFonts w:ascii="Calibri" w:hAnsi="Calibri" w:cs="Calibri"/>
          <w:sz w:val="24"/>
          <w:szCs w:val="24"/>
        </w:rPr>
        <w:lastRenderedPageBreak/>
        <w:t xml:space="preserve">drodze, wartości dostaw i usług </w:t>
      </w:r>
      <w:proofErr w:type="spellStart"/>
      <w:r>
        <w:rPr>
          <w:rFonts w:ascii="Calibri" w:hAnsi="Calibri" w:cs="Calibri"/>
          <w:sz w:val="24"/>
          <w:szCs w:val="24"/>
        </w:rPr>
        <w:t>niefakturaowanych</w:t>
      </w:r>
      <w:proofErr w:type="spellEnd"/>
      <w:r>
        <w:rPr>
          <w:rFonts w:ascii="Calibri" w:hAnsi="Calibri" w:cs="Calibri"/>
          <w:sz w:val="24"/>
          <w:szCs w:val="24"/>
        </w:rPr>
        <w:t xml:space="preserve"> np. dystrybucja węgla w preferencyjnych cenach.</w:t>
      </w:r>
    </w:p>
    <w:p w14:paraId="6A34422E" w14:textId="77777777" w:rsidR="006B5E6F" w:rsidRDefault="006B5E6F" w:rsidP="006B5E6F">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Konto może wykazywać dwa salda. Saldo </w:t>
      </w:r>
      <w:proofErr w:type="spellStart"/>
      <w:r>
        <w:rPr>
          <w:rFonts w:ascii="Calibri" w:hAnsi="Calibri" w:cs="Calibri"/>
          <w:sz w:val="24"/>
          <w:szCs w:val="24"/>
        </w:rPr>
        <w:t>Wn</w:t>
      </w:r>
      <w:proofErr w:type="spellEnd"/>
      <w:r>
        <w:rPr>
          <w:rFonts w:ascii="Calibri" w:hAnsi="Calibri" w:cs="Calibri"/>
          <w:sz w:val="24"/>
          <w:szCs w:val="24"/>
        </w:rPr>
        <w:t xml:space="preserve"> oznacza stan dostaw materiałów i towarów w drodze oraz wartość zafakturowanych zaliczek wpłaconych na przyszłe dostawy lub usługi, saldo Ma  - stan dostaw, robót i usług niefakturowanych do dnia bilansowego.</w:t>
      </w:r>
    </w:p>
    <w:p w14:paraId="71DBBD31" w14:textId="77777777" w:rsidR="006B5E6F" w:rsidRDefault="006B5E6F" w:rsidP="006B5E6F">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2) Konto 330 – </w:t>
      </w:r>
      <w:r>
        <w:rPr>
          <w:rFonts w:ascii="Calibri" w:hAnsi="Calibri" w:cs="Calibri"/>
          <w:b/>
          <w:bCs/>
          <w:sz w:val="24"/>
          <w:szCs w:val="24"/>
        </w:rPr>
        <w:t>„Towary”</w:t>
      </w:r>
    </w:p>
    <w:p w14:paraId="15F602E1" w14:textId="77777777" w:rsidR="006B5E6F" w:rsidRDefault="006B5E6F" w:rsidP="006B5E6F">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Konto 330 służy ewidencji zapasów towarów w magazynach własnych i obcych, w punktach sprzedaży oraz punktach przerobu własnego i obcego. Na stronie </w:t>
      </w:r>
      <w:proofErr w:type="spellStart"/>
      <w:r>
        <w:rPr>
          <w:rFonts w:ascii="Calibri" w:hAnsi="Calibri" w:cs="Calibri"/>
          <w:sz w:val="24"/>
          <w:szCs w:val="24"/>
        </w:rPr>
        <w:t>Wn</w:t>
      </w:r>
      <w:proofErr w:type="spellEnd"/>
      <w:r>
        <w:rPr>
          <w:rFonts w:ascii="Calibri" w:hAnsi="Calibri" w:cs="Calibri"/>
          <w:sz w:val="24"/>
          <w:szCs w:val="24"/>
        </w:rPr>
        <w:t xml:space="preserve"> księguje się przychody i zwiększenia wartości stanu zapasów towarów i artykułów spożywczych, na stronie Ma rozchody i zmniejszenia ich wartości.</w:t>
      </w:r>
    </w:p>
    <w:p w14:paraId="19D931CE" w14:textId="77777777" w:rsidR="006B5E6F" w:rsidRDefault="006B5E6F" w:rsidP="006B5E6F">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Konto 330 może wykazywać saldo </w:t>
      </w:r>
      <w:proofErr w:type="spellStart"/>
      <w:r>
        <w:rPr>
          <w:rFonts w:ascii="Calibri" w:hAnsi="Calibri" w:cs="Calibri"/>
          <w:sz w:val="24"/>
          <w:szCs w:val="24"/>
        </w:rPr>
        <w:t>Wn</w:t>
      </w:r>
      <w:proofErr w:type="spellEnd"/>
      <w:r>
        <w:rPr>
          <w:rFonts w:ascii="Calibri" w:hAnsi="Calibri" w:cs="Calibri"/>
          <w:sz w:val="24"/>
          <w:szCs w:val="24"/>
        </w:rPr>
        <w:t>, które oznacza stan zapasu towarów w cenach zakupu lub nabycia.</w:t>
      </w:r>
    </w:p>
    <w:p w14:paraId="3C586AED" w14:textId="77777777" w:rsidR="006B5E6F" w:rsidRDefault="006B5E6F" w:rsidP="006B5E6F">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3) Konto 730 – </w:t>
      </w:r>
      <w:r>
        <w:rPr>
          <w:rFonts w:ascii="Calibri" w:hAnsi="Calibri" w:cs="Calibri"/>
          <w:b/>
          <w:bCs/>
          <w:sz w:val="24"/>
          <w:szCs w:val="24"/>
        </w:rPr>
        <w:t>„Sprzedaż towarów i wartość ich zakupu”</w:t>
      </w:r>
    </w:p>
    <w:p w14:paraId="270ADDB1" w14:textId="77777777" w:rsidR="006B5E6F" w:rsidRDefault="006B5E6F" w:rsidP="006B5E6F">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Na koncie 730 ewidencjonuje się przychody ze sprzedaży towarów oraz ich wartość w cenach zakupu (nabycia). Na stronie </w:t>
      </w:r>
      <w:proofErr w:type="spellStart"/>
      <w:r>
        <w:rPr>
          <w:rFonts w:ascii="Calibri" w:hAnsi="Calibri" w:cs="Calibri"/>
          <w:sz w:val="24"/>
          <w:szCs w:val="24"/>
        </w:rPr>
        <w:t>Wn</w:t>
      </w:r>
      <w:proofErr w:type="spellEnd"/>
      <w:r>
        <w:rPr>
          <w:rFonts w:ascii="Calibri" w:hAnsi="Calibri" w:cs="Calibri"/>
          <w:sz w:val="24"/>
          <w:szCs w:val="24"/>
        </w:rPr>
        <w:t xml:space="preserve"> ujmuje się wartość sprzedanych towarów oraz zmniejszenia przychodów ze sprzedaży towarów, na stronie Ma ujmuje się przychody ze sprzedaży towarów oraz korektę wartości sprzedanych towarów. Na koniec roku wartość konta 730 przenosi się na konto 860, w związku z czym konto 730 na koniec roku nie wykazuje salda.</w:t>
      </w:r>
    </w:p>
    <w:p w14:paraId="66E78FBD" w14:textId="77777777" w:rsidR="006B5E6F" w:rsidRDefault="006B5E6F" w:rsidP="006B5E6F">
      <w:pPr>
        <w:pStyle w:val="western"/>
        <w:spacing w:before="0" w:beforeAutospacing="0" w:line="360" w:lineRule="auto"/>
        <w:jc w:val="both"/>
        <w:rPr>
          <w:rFonts w:ascii="Calibri" w:hAnsi="Calibri" w:cs="Calibri"/>
          <w:sz w:val="24"/>
          <w:szCs w:val="24"/>
        </w:rPr>
      </w:pPr>
    </w:p>
    <w:p w14:paraId="5C822797" w14:textId="77777777" w:rsidR="006B5E6F" w:rsidRDefault="006B5E6F" w:rsidP="006B5E6F">
      <w:pPr>
        <w:pStyle w:val="Standard"/>
        <w:spacing w:line="360" w:lineRule="auto"/>
        <w:jc w:val="both"/>
        <w:rPr>
          <w:rFonts w:ascii="Calibri" w:hAnsi="Calibri" w:cs="Calibri"/>
          <w:bCs/>
        </w:rPr>
      </w:pPr>
      <w:r>
        <w:rPr>
          <w:rFonts w:ascii="Calibri" w:hAnsi="Calibri" w:cs="Calibri"/>
          <w:b/>
        </w:rPr>
        <w:t>2.</w:t>
      </w:r>
      <w:r>
        <w:rPr>
          <w:rFonts w:ascii="Calibri" w:hAnsi="Calibri" w:cs="Calibri"/>
        </w:rPr>
        <w:t xml:space="preserve"> </w:t>
      </w:r>
      <w:r>
        <w:rPr>
          <w:rFonts w:ascii="Calibri" w:hAnsi="Calibri" w:cs="Calibri"/>
          <w:bCs/>
        </w:rPr>
        <w:t xml:space="preserve">W </w:t>
      </w:r>
      <w:r>
        <w:rPr>
          <w:rFonts w:ascii="Calibri" w:hAnsi="Calibri" w:cs="Calibri"/>
          <w:b/>
        </w:rPr>
        <w:t>załączniku Nr 3</w:t>
      </w:r>
      <w:r>
        <w:rPr>
          <w:rFonts w:ascii="Calibri" w:hAnsi="Calibri" w:cs="Calibri"/>
        </w:rPr>
        <w:t xml:space="preserve"> do </w:t>
      </w:r>
      <w:r>
        <w:rPr>
          <w:rFonts w:ascii="Calibri" w:hAnsi="Calibri" w:cs="Calibri"/>
          <w:bCs/>
        </w:rPr>
        <w:t xml:space="preserve">Zarządzenia Nr 44/2012 Wójta Gminy Jednorożec z dnia 5 czerwca 2012 roku z </w:t>
      </w:r>
      <w:proofErr w:type="spellStart"/>
      <w:r>
        <w:rPr>
          <w:rFonts w:ascii="Calibri" w:hAnsi="Calibri" w:cs="Calibri"/>
          <w:bCs/>
        </w:rPr>
        <w:t>późn</w:t>
      </w:r>
      <w:proofErr w:type="spellEnd"/>
      <w:r>
        <w:rPr>
          <w:rFonts w:ascii="Calibri" w:hAnsi="Calibri" w:cs="Calibri"/>
          <w:bCs/>
        </w:rPr>
        <w:t>. zm. konto 224 – Rozrachunki</w:t>
      </w:r>
      <w:r>
        <w:rPr>
          <w:rFonts w:ascii="Calibri" w:hAnsi="Calibri" w:cs="Calibri"/>
          <w:b/>
          <w:bCs/>
        </w:rPr>
        <w:t xml:space="preserve"> </w:t>
      </w:r>
      <w:r>
        <w:rPr>
          <w:rFonts w:ascii="Calibri" w:hAnsi="Calibri" w:cs="Calibri"/>
          <w:bCs/>
        </w:rPr>
        <w:t>budżetu otrzymuje brzmienie:</w:t>
      </w:r>
    </w:p>
    <w:p w14:paraId="0835B535" w14:textId="77777777" w:rsidR="006B5E6F" w:rsidRDefault="006B5E6F" w:rsidP="006B5E6F">
      <w:pPr>
        <w:pStyle w:val="Nagwek2"/>
        <w:spacing w:line="360" w:lineRule="auto"/>
        <w:jc w:val="both"/>
        <w:rPr>
          <w:rFonts w:ascii="Calibri" w:hAnsi="Calibri" w:cs="Calibri"/>
          <w:bCs/>
          <w:sz w:val="24"/>
          <w:szCs w:val="24"/>
        </w:rPr>
      </w:pPr>
      <w:r>
        <w:rPr>
          <w:rFonts w:ascii="Calibri" w:hAnsi="Calibri" w:cs="Calibri"/>
          <w:bCs/>
          <w:sz w:val="24"/>
          <w:szCs w:val="24"/>
        </w:rPr>
        <w:t>„</w:t>
      </w:r>
      <w:r>
        <w:rPr>
          <w:rFonts w:ascii="Calibri" w:hAnsi="Calibri" w:cs="Calibri"/>
          <w:sz w:val="24"/>
          <w:szCs w:val="24"/>
        </w:rPr>
        <w:t>Konto 224 – „Rozrachunki budżetu”</w:t>
      </w:r>
    </w:p>
    <w:p w14:paraId="0F757492" w14:textId="77777777" w:rsidR="006B5E6F" w:rsidRDefault="006B5E6F" w:rsidP="006B5E6F">
      <w:pPr>
        <w:pStyle w:val="western"/>
        <w:spacing w:before="0" w:beforeAutospacing="0" w:line="360" w:lineRule="auto"/>
        <w:jc w:val="both"/>
        <w:rPr>
          <w:rFonts w:ascii="Calibri" w:hAnsi="Calibri" w:cs="Calibri"/>
          <w:sz w:val="24"/>
          <w:szCs w:val="24"/>
        </w:rPr>
      </w:pPr>
      <w:r>
        <w:rPr>
          <w:rFonts w:ascii="Calibri" w:hAnsi="Calibri" w:cs="Calibri"/>
          <w:sz w:val="24"/>
          <w:szCs w:val="24"/>
        </w:rPr>
        <w:t>„Konto 224 służy do ewidencji rozrachunków z innymi budżetami, a w szczególności:</w:t>
      </w:r>
    </w:p>
    <w:p w14:paraId="2805AF00" w14:textId="77777777" w:rsidR="006B5E6F" w:rsidRDefault="006B5E6F" w:rsidP="006B5E6F">
      <w:pPr>
        <w:pStyle w:val="western"/>
        <w:numPr>
          <w:ilvl w:val="0"/>
          <w:numId w:val="2"/>
        </w:numPr>
        <w:spacing w:before="0" w:beforeAutospacing="0" w:line="360" w:lineRule="auto"/>
        <w:jc w:val="both"/>
        <w:rPr>
          <w:rFonts w:ascii="Calibri" w:hAnsi="Calibri" w:cs="Calibri"/>
          <w:sz w:val="24"/>
          <w:szCs w:val="24"/>
        </w:rPr>
      </w:pPr>
      <w:r>
        <w:rPr>
          <w:rFonts w:ascii="Calibri" w:hAnsi="Calibri" w:cs="Calibri"/>
          <w:sz w:val="24"/>
          <w:szCs w:val="24"/>
        </w:rPr>
        <w:t>rozliczeń dochodów budżetowych realizowanych przez urzędy skarbowe na rzecz budżetu,</w:t>
      </w:r>
    </w:p>
    <w:p w14:paraId="7D17620C" w14:textId="77777777" w:rsidR="006B5E6F" w:rsidRDefault="006B5E6F" w:rsidP="006B5E6F">
      <w:pPr>
        <w:pStyle w:val="western"/>
        <w:numPr>
          <w:ilvl w:val="0"/>
          <w:numId w:val="2"/>
        </w:numPr>
        <w:spacing w:before="0" w:beforeAutospacing="0" w:line="360" w:lineRule="auto"/>
        <w:jc w:val="both"/>
        <w:rPr>
          <w:rFonts w:ascii="Calibri" w:hAnsi="Calibri" w:cs="Calibri"/>
          <w:sz w:val="24"/>
          <w:szCs w:val="24"/>
        </w:rPr>
      </w:pPr>
      <w:r>
        <w:rPr>
          <w:rFonts w:ascii="Calibri" w:hAnsi="Calibri" w:cs="Calibri"/>
          <w:sz w:val="24"/>
          <w:szCs w:val="24"/>
        </w:rPr>
        <w:t>rozrachunków z tytułu dochodów pobranych na rzecz budżetu państwa,</w:t>
      </w:r>
    </w:p>
    <w:p w14:paraId="05195867" w14:textId="77777777" w:rsidR="006B5E6F" w:rsidRDefault="006B5E6F" w:rsidP="006B5E6F">
      <w:pPr>
        <w:pStyle w:val="western"/>
        <w:numPr>
          <w:ilvl w:val="0"/>
          <w:numId w:val="2"/>
        </w:numPr>
        <w:spacing w:before="0" w:beforeAutospacing="0" w:line="360" w:lineRule="auto"/>
        <w:jc w:val="both"/>
        <w:rPr>
          <w:rFonts w:ascii="Calibri" w:hAnsi="Calibri" w:cs="Calibri"/>
          <w:sz w:val="24"/>
          <w:szCs w:val="24"/>
        </w:rPr>
      </w:pPr>
      <w:r>
        <w:rPr>
          <w:rFonts w:ascii="Calibri" w:hAnsi="Calibri" w:cs="Calibri"/>
          <w:sz w:val="24"/>
          <w:szCs w:val="24"/>
        </w:rPr>
        <w:t>rozliczeń z urzędem skarbowym z tytułu podatku VAT.</w:t>
      </w:r>
    </w:p>
    <w:p w14:paraId="38612C94" w14:textId="77777777" w:rsidR="006B5E6F" w:rsidRDefault="006B5E6F" w:rsidP="006B5E6F">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Ewidencja szczegółowa do konta 224 powinna umożliwić ustalenie stanu należności i zobowiązań według poszczególnych tytułów oraz według poszczególnych budżetów. Ewidencja szczegółowa prowadzona jest poprzez dodanie do konta 224 numeru w zależności od rodzaju i źródła pochodzenia środków.</w:t>
      </w:r>
    </w:p>
    <w:p w14:paraId="02F7F659" w14:textId="77777777" w:rsidR="006B5E6F" w:rsidRDefault="006B5E6F" w:rsidP="006B5E6F">
      <w:pPr>
        <w:pStyle w:val="western"/>
        <w:spacing w:before="0" w:beforeAutospacing="0" w:line="360" w:lineRule="auto"/>
        <w:jc w:val="both"/>
        <w:rPr>
          <w:rFonts w:ascii="Calibri" w:hAnsi="Calibri" w:cs="Calibri"/>
          <w:sz w:val="24"/>
          <w:szCs w:val="24"/>
        </w:rPr>
      </w:pPr>
      <w:r>
        <w:rPr>
          <w:rFonts w:ascii="Calibri" w:hAnsi="Calibri" w:cs="Calibri"/>
          <w:sz w:val="24"/>
          <w:szCs w:val="24"/>
        </w:rPr>
        <w:lastRenderedPageBreak/>
        <w:t>Konto 224 może wykazywać dwa salda.</w:t>
      </w:r>
    </w:p>
    <w:p w14:paraId="7DB259DE" w14:textId="77777777" w:rsidR="006B5E6F" w:rsidRDefault="006B5E6F" w:rsidP="006B5E6F">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Saldo </w:t>
      </w:r>
      <w:proofErr w:type="spellStart"/>
      <w:r>
        <w:rPr>
          <w:rFonts w:ascii="Calibri" w:hAnsi="Calibri" w:cs="Calibri"/>
          <w:sz w:val="24"/>
          <w:szCs w:val="24"/>
        </w:rPr>
        <w:t>Wn</w:t>
      </w:r>
      <w:proofErr w:type="spellEnd"/>
      <w:r>
        <w:rPr>
          <w:rFonts w:ascii="Calibri" w:hAnsi="Calibri" w:cs="Calibri"/>
          <w:sz w:val="24"/>
          <w:szCs w:val="24"/>
        </w:rPr>
        <w:t xml:space="preserve"> konta 224 oznacza stan należności, a saldo Ma konta 224 – stan zobowiązań budżetu z tytułu pozostałych rozrachunków.</w:t>
      </w:r>
    </w:p>
    <w:p w14:paraId="3E2E99EE" w14:textId="77777777" w:rsidR="006B5E6F" w:rsidRDefault="006B5E6F" w:rsidP="006B5E6F">
      <w:pPr>
        <w:spacing w:line="360" w:lineRule="auto"/>
        <w:ind w:firstLine="708"/>
        <w:jc w:val="both"/>
        <w:rPr>
          <w:rFonts w:ascii="Calibri" w:hAnsi="Calibri" w:cs="Calibri"/>
        </w:rPr>
      </w:pPr>
      <w:r>
        <w:rPr>
          <w:rFonts w:ascii="Calibri" w:hAnsi="Calibri" w:cs="Calibri"/>
        </w:rPr>
        <w:t xml:space="preserve">Przypisy, dochody wykonane oraz zaległości dochodów otrzymywanych z Urzędu Skarbowego wykazuje się na podstawie informacji o dochodach budżetowych pobieranych przez urzędy skarbowe na rzecz jednostek samorządu terytorialnego ukazanych na stronie Ministerstwa Finansów po zakończeniu kwartału. Dochody wykonane na bieżąco ujmowane pod datą wyciągu bankowego, w korespondencji z kontem 224. </w:t>
      </w:r>
    </w:p>
    <w:p w14:paraId="1CD408D1" w14:textId="77777777" w:rsidR="006B5E6F" w:rsidRDefault="006B5E6F" w:rsidP="006B5E6F">
      <w:pPr>
        <w:spacing w:line="360" w:lineRule="auto"/>
        <w:ind w:firstLine="708"/>
        <w:jc w:val="both"/>
        <w:rPr>
          <w:rFonts w:ascii="Calibri" w:hAnsi="Calibri" w:cs="Calibri"/>
        </w:rPr>
      </w:pPr>
      <w:r>
        <w:rPr>
          <w:rFonts w:ascii="Calibri" w:hAnsi="Calibri" w:cs="Calibri"/>
        </w:rPr>
        <w:t xml:space="preserve">Od 1 stycznia 2023 roku udziały w podatku dochodowym od osób fizycznych i prawnych przekazane przez Ministerstwo Finansów i urząd skarbowy na rachunek budżetu są ujmowane pod datą wyciągu bankowego, w korespondencji z kontem 901. </w:t>
      </w:r>
    </w:p>
    <w:p w14:paraId="0D630D19" w14:textId="77777777" w:rsidR="006B5E6F" w:rsidRDefault="006B5E6F" w:rsidP="006B5E6F">
      <w:pPr>
        <w:spacing w:line="360" w:lineRule="auto"/>
        <w:ind w:firstLine="708"/>
        <w:jc w:val="both"/>
        <w:rPr>
          <w:rFonts w:ascii="Calibri" w:hAnsi="Calibri" w:cs="Calibri"/>
        </w:rPr>
      </w:pPr>
      <w:r>
        <w:rPr>
          <w:rFonts w:ascii="Calibri" w:hAnsi="Calibri" w:cs="Calibri"/>
        </w:rPr>
        <w:t xml:space="preserve">Wpływy z tytułu subwencji i dotacji w ciągu roku są księgowane z pominięciem konta 224. Jedynie dotacje i część oświatową subwencji ogólnej otrzymaną w grudniu za styczeń następnego roku ujmuje się na koncie 909. </w:t>
      </w:r>
    </w:p>
    <w:p w14:paraId="2BFA4363" w14:textId="77777777" w:rsidR="006B5E6F" w:rsidRDefault="006B5E6F" w:rsidP="006B5E6F">
      <w:pPr>
        <w:spacing w:line="360" w:lineRule="auto"/>
        <w:ind w:firstLine="708"/>
        <w:jc w:val="both"/>
        <w:rPr>
          <w:rFonts w:ascii="Calibri" w:hAnsi="Calibri" w:cs="Calibri"/>
        </w:rPr>
      </w:pPr>
      <w:r>
        <w:rPr>
          <w:rFonts w:ascii="Calibri" w:hAnsi="Calibri" w:cs="Calibri"/>
        </w:rPr>
        <w:t xml:space="preserve">Konto 224 służy m.in. do rozrachunków z tytułu dochodów pobranych na rzecz budżetu państwa Na podstawie instrukcji sporządzania sprawozdania kwartalnego Rb-27ZZ należy przyjąć, że dochodami pobranymi na rzecz budżetu jednostki samorządu terytorialnego jest tylko ta część dochodów związanych z realizacją zadań z zakresu administracji rządowej oraz innych zadań zleconych ustawami, która jest należna budżetowi państwa. W instrukcji tej określono, że dochody wykonane w związku z realizacją zadań zleconych z zakresu administracji rządowej, należne jednostkom samorządu terytorialnego na podstawie odrębnych przepisów, nie stanowią dochodów budżetu państwa. </w:t>
      </w:r>
    </w:p>
    <w:p w14:paraId="3AF7F57F" w14:textId="77777777" w:rsidR="006B5E6F" w:rsidRDefault="006B5E6F" w:rsidP="006B5E6F">
      <w:pPr>
        <w:spacing w:line="360" w:lineRule="auto"/>
        <w:jc w:val="both"/>
        <w:rPr>
          <w:rFonts w:ascii="Calibri" w:hAnsi="Calibri" w:cs="Calibri"/>
        </w:rPr>
      </w:pPr>
      <w:r>
        <w:rPr>
          <w:rFonts w:ascii="Calibri" w:hAnsi="Calibri" w:cs="Calibri"/>
        </w:rPr>
        <w:t>Przyjmując założenie, że wpłaty na rachunek budżetu dochodów zrealizowanych przez jednostki budżetowe w związku z realizacją zadań z zakresu administracji rządowej i innych zadań zleconych ustawami jest księgowany na koncie 224 wystąpią następujące zapisy związane z rozliczeniem uzyskanych z tego tytułu wpływów:</w:t>
      </w:r>
    </w:p>
    <w:p w14:paraId="5591DC62" w14:textId="77777777" w:rsidR="006B5E6F" w:rsidRDefault="006B5E6F" w:rsidP="006B5E6F">
      <w:pPr>
        <w:spacing w:line="360" w:lineRule="auto"/>
        <w:jc w:val="both"/>
        <w:rPr>
          <w:rFonts w:ascii="Calibri" w:hAnsi="Calibri" w:cs="Calibri"/>
        </w:rPr>
      </w:pPr>
      <w:r>
        <w:rPr>
          <w:rFonts w:ascii="Calibri" w:hAnsi="Calibri" w:cs="Calibri"/>
        </w:rPr>
        <w:t xml:space="preserve">– zobowiązania wobec budżetu państwa, w wysokości należnej budżetowi państwa – </w:t>
      </w:r>
      <w:proofErr w:type="spellStart"/>
      <w:r>
        <w:rPr>
          <w:rFonts w:ascii="Calibri" w:hAnsi="Calibri" w:cs="Calibri"/>
        </w:rPr>
        <w:t>Wn</w:t>
      </w:r>
      <w:proofErr w:type="spellEnd"/>
      <w:r>
        <w:rPr>
          <w:rFonts w:ascii="Calibri" w:hAnsi="Calibri" w:cs="Calibri"/>
        </w:rPr>
        <w:t xml:space="preserve"> 133, Ma 224;</w:t>
      </w:r>
    </w:p>
    <w:p w14:paraId="57C06DDF" w14:textId="77777777" w:rsidR="006B5E6F" w:rsidRDefault="006B5E6F" w:rsidP="006B5E6F">
      <w:pPr>
        <w:spacing w:line="360" w:lineRule="auto"/>
        <w:jc w:val="both"/>
        <w:rPr>
          <w:rFonts w:ascii="Calibri" w:hAnsi="Calibri" w:cs="Calibri"/>
        </w:rPr>
      </w:pPr>
      <w:r>
        <w:rPr>
          <w:rFonts w:ascii="Calibri" w:hAnsi="Calibri" w:cs="Calibri"/>
        </w:rPr>
        <w:t xml:space="preserve">– zobowiązania wobec innych jednostek samorządu terytorialnego, w wysokości należnej jednostek samorządu terytorialnego – </w:t>
      </w:r>
      <w:proofErr w:type="spellStart"/>
      <w:r>
        <w:rPr>
          <w:rFonts w:ascii="Calibri" w:hAnsi="Calibri" w:cs="Calibri"/>
        </w:rPr>
        <w:t>Wn</w:t>
      </w:r>
      <w:proofErr w:type="spellEnd"/>
      <w:r>
        <w:rPr>
          <w:rFonts w:ascii="Calibri" w:hAnsi="Calibri" w:cs="Calibri"/>
        </w:rPr>
        <w:t xml:space="preserve"> 133, Ma 224;</w:t>
      </w:r>
    </w:p>
    <w:p w14:paraId="0C43EECA" w14:textId="77777777" w:rsidR="006B5E6F" w:rsidRDefault="006B5E6F" w:rsidP="006B5E6F">
      <w:pPr>
        <w:spacing w:line="360" w:lineRule="auto"/>
        <w:jc w:val="both"/>
        <w:rPr>
          <w:rFonts w:ascii="Calibri" w:hAnsi="Calibri" w:cs="Calibri"/>
        </w:rPr>
      </w:pPr>
      <w:r>
        <w:rPr>
          <w:rFonts w:ascii="Calibri" w:hAnsi="Calibri" w:cs="Calibri"/>
        </w:rPr>
        <w:t xml:space="preserve">– przelewy dochodów należnych budżetowi państwa – </w:t>
      </w:r>
      <w:proofErr w:type="spellStart"/>
      <w:r>
        <w:rPr>
          <w:rFonts w:ascii="Calibri" w:hAnsi="Calibri" w:cs="Calibri"/>
        </w:rPr>
        <w:t>Wn</w:t>
      </w:r>
      <w:proofErr w:type="spellEnd"/>
      <w:r>
        <w:rPr>
          <w:rFonts w:ascii="Calibri" w:hAnsi="Calibri" w:cs="Calibri"/>
        </w:rPr>
        <w:t xml:space="preserve"> 224, Ma 133;</w:t>
      </w:r>
    </w:p>
    <w:p w14:paraId="252C68A4" w14:textId="77777777" w:rsidR="006B5E6F" w:rsidRDefault="006B5E6F" w:rsidP="006B5E6F">
      <w:pPr>
        <w:spacing w:line="360" w:lineRule="auto"/>
        <w:jc w:val="both"/>
        <w:rPr>
          <w:rFonts w:ascii="Calibri" w:hAnsi="Calibri" w:cs="Calibri"/>
        </w:rPr>
      </w:pPr>
      <w:r>
        <w:rPr>
          <w:rFonts w:ascii="Calibri" w:hAnsi="Calibri" w:cs="Calibri"/>
        </w:rPr>
        <w:lastRenderedPageBreak/>
        <w:t xml:space="preserve">– zaksięgowanie dochodów należnych jednostce samorządu terytorialnego wg klasyfikacji budżetowej dochodów </w:t>
      </w:r>
      <w:proofErr w:type="spellStart"/>
      <w:r>
        <w:rPr>
          <w:rFonts w:ascii="Calibri" w:hAnsi="Calibri" w:cs="Calibri"/>
        </w:rPr>
        <w:t>Wn</w:t>
      </w:r>
      <w:proofErr w:type="spellEnd"/>
      <w:r>
        <w:rPr>
          <w:rFonts w:ascii="Calibri" w:hAnsi="Calibri" w:cs="Calibri"/>
        </w:rPr>
        <w:t xml:space="preserve"> 224, Ma 901.</w:t>
      </w:r>
    </w:p>
    <w:p w14:paraId="33B72A54" w14:textId="77777777" w:rsidR="006B5E6F" w:rsidRDefault="006B5E6F" w:rsidP="006B5E6F">
      <w:pPr>
        <w:spacing w:line="360" w:lineRule="auto"/>
        <w:ind w:firstLine="708"/>
        <w:jc w:val="both"/>
        <w:rPr>
          <w:rFonts w:ascii="Calibri" w:hAnsi="Calibri" w:cs="Calibri"/>
        </w:rPr>
      </w:pPr>
      <w:r>
        <w:rPr>
          <w:rFonts w:ascii="Calibri" w:hAnsi="Calibri" w:cs="Calibri"/>
        </w:rPr>
        <w:t xml:space="preserve">Konto 224 służy także do rozliczenia z tytułu VAT z urzędem skarbowym i jednostkami (z wyjątkiem jednostki urząd gminy).  Na stronie </w:t>
      </w:r>
      <w:proofErr w:type="spellStart"/>
      <w:r>
        <w:rPr>
          <w:rFonts w:ascii="Calibri" w:hAnsi="Calibri" w:cs="Calibri"/>
        </w:rPr>
        <w:t>Wn</w:t>
      </w:r>
      <w:proofErr w:type="spellEnd"/>
      <w:r>
        <w:rPr>
          <w:rFonts w:ascii="Calibri" w:hAnsi="Calibri" w:cs="Calibri"/>
        </w:rPr>
        <w:t xml:space="preserve"> ujmuje się:</w:t>
      </w:r>
    </w:p>
    <w:p w14:paraId="14DFAEB0" w14:textId="77777777" w:rsidR="006B5E6F" w:rsidRDefault="006B5E6F" w:rsidP="006B5E6F">
      <w:pPr>
        <w:spacing w:line="360" w:lineRule="auto"/>
        <w:jc w:val="both"/>
        <w:rPr>
          <w:rFonts w:ascii="Calibri" w:hAnsi="Calibri" w:cs="Calibri"/>
          <w:color w:val="FF0000"/>
        </w:rPr>
      </w:pPr>
      <w:r>
        <w:rPr>
          <w:rFonts w:ascii="Calibri" w:hAnsi="Calibri" w:cs="Calibri"/>
        </w:rPr>
        <w:t>- przelewy VAT na rachunek urzędu skarbowego w wysokości wynikającej z miesięcznej deklaracji VAT- 7 sporządzonej jednostki (z wyjątkiem jednostki urząd gminy), w korespondencji z kontem 133,</w:t>
      </w:r>
      <w:r>
        <w:rPr>
          <w:rFonts w:ascii="Calibri" w:hAnsi="Calibri" w:cs="Calibri"/>
          <w:color w:val="FF0000"/>
        </w:rPr>
        <w:t xml:space="preserve">            </w:t>
      </w:r>
    </w:p>
    <w:p w14:paraId="643D4511" w14:textId="77777777" w:rsidR="006B5E6F" w:rsidRDefault="006B5E6F" w:rsidP="006B5E6F">
      <w:pPr>
        <w:spacing w:line="360" w:lineRule="auto"/>
        <w:jc w:val="both"/>
        <w:rPr>
          <w:rFonts w:ascii="Calibri" w:hAnsi="Calibri" w:cs="Calibri"/>
        </w:rPr>
      </w:pPr>
      <w:r>
        <w:rPr>
          <w:rFonts w:ascii="Calibri" w:hAnsi="Calibri" w:cs="Calibri"/>
        </w:rPr>
        <w:t>Na stronie Ma ujmuje się:</w:t>
      </w:r>
    </w:p>
    <w:p w14:paraId="1D8F80AF" w14:textId="77777777" w:rsidR="006B5E6F" w:rsidRDefault="006B5E6F" w:rsidP="006B5E6F">
      <w:pPr>
        <w:spacing w:line="360" w:lineRule="auto"/>
        <w:jc w:val="both"/>
        <w:rPr>
          <w:rFonts w:ascii="Calibri" w:hAnsi="Calibri" w:cs="Calibri"/>
        </w:rPr>
      </w:pPr>
      <w:r>
        <w:rPr>
          <w:rFonts w:ascii="Calibri" w:hAnsi="Calibri" w:cs="Calibri"/>
        </w:rPr>
        <w:t>- wpływ VAT od jednostki (z wyjątkiem jednostki urząd gminy) na rachunek budżetu, w korespondencji z kontem 133,</w:t>
      </w:r>
    </w:p>
    <w:p w14:paraId="25487572" w14:textId="77777777" w:rsidR="006B5E6F" w:rsidRDefault="006B5E6F" w:rsidP="006B5E6F">
      <w:pPr>
        <w:pStyle w:val="Standard"/>
        <w:spacing w:line="360" w:lineRule="auto"/>
        <w:jc w:val="both"/>
        <w:rPr>
          <w:rFonts w:ascii="Calibri" w:hAnsi="Calibri" w:cs="Calibri"/>
        </w:rPr>
      </w:pPr>
      <w:r>
        <w:rPr>
          <w:rFonts w:ascii="Calibri" w:hAnsi="Calibri" w:cs="Calibri"/>
        </w:rPr>
        <w:tab/>
        <w:t xml:space="preserve">Konto 224 może wykazywać dwa salda. Saldo </w:t>
      </w:r>
      <w:proofErr w:type="spellStart"/>
      <w:r>
        <w:rPr>
          <w:rFonts w:ascii="Calibri" w:hAnsi="Calibri" w:cs="Calibri"/>
        </w:rPr>
        <w:t>Wn</w:t>
      </w:r>
      <w:proofErr w:type="spellEnd"/>
      <w:r>
        <w:rPr>
          <w:rFonts w:ascii="Calibri" w:hAnsi="Calibri" w:cs="Calibri"/>
        </w:rPr>
        <w:t xml:space="preserve"> oznacza stan należności, saldo Ma oznacza stan zobowiązań budżetu.”</w:t>
      </w:r>
    </w:p>
    <w:p w14:paraId="67CE4EE8" w14:textId="77777777" w:rsidR="006B5E6F" w:rsidRDefault="006B5E6F" w:rsidP="006B5E6F">
      <w:pPr>
        <w:pStyle w:val="western"/>
        <w:spacing w:before="0" w:beforeAutospacing="0" w:line="360" w:lineRule="auto"/>
        <w:jc w:val="both"/>
        <w:rPr>
          <w:rFonts w:ascii="Calibri" w:hAnsi="Calibri" w:cs="Calibri"/>
          <w:sz w:val="24"/>
          <w:szCs w:val="24"/>
        </w:rPr>
      </w:pPr>
    </w:p>
    <w:p w14:paraId="70B618D5" w14:textId="77777777" w:rsidR="006B5E6F" w:rsidRDefault="006B5E6F" w:rsidP="006B5E6F">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t>§ 2.Wykonanie zarządzenia powierza się Skarbnikowi Gminy.</w:t>
      </w:r>
    </w:p>
    <w:p w14:paraId="14E39B91" w14:textId="77777777" w:rsidR="006B5E6F" w:rsidRDefault="006B5E6F" w:rsidP="006B5E6F">
      <w:pPr>
        <w:pStyle w:val="western"/>
        <w:spacing w:before="0" w:beforeAutospacing="0" w:line="360" w:lineRule="auto"/>
        <w:jc w:val="both"/>
        <w:rPr>
          <w:rFonts w:ascii="Calibri" w:hAnsi="Calibri" w:cs="Calibri"/>
          <w:bCs/>
          <w:sz w:val="24"/>
          <w:szCs w:val="24"/>
        </w:rPr>
      </w:pPr>
    </w:p>
    <w:p w14:paraId="7AD3CAA3" w14:textId="77777777" w:rsidR="006B5E6F" w:rsidRDefault="006B5E6F" w:rsidP="006B5E6F">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t>§ 3.Zarządzenie wchodzi w życie z dniem podpisania.</w:t>
      </w:r>
    </w:p>
    <w:p w14:paraId="2A11BB90" w14:textId="77777777" w:rsidR="006B5E6F" w:rsidRDefault="006B5E6F" w:rsidP="006B5E6F">
      <w:pPr>
        <w:pStyle w:val="Standard"/>
        <w:spacing w:line="360" w:lineRule="auto"/>
        <w:jc w:val="both"/>
        <w:rPr>
          <w:rFonts w:ascii="Calibri" w:hAnsi="Calibri" w:cs="Calibri"/>
          <w:color w:val="FF0000"/>
        </w:rPr>
      </w:pPr>
    </w:p>
    <w:p w14:paraId="6BE27C75" w14:textId="77777777" w:rsidR="009D68C2" w:rsidRPr="009D68C2" w:rsidRDefault="009D68C2" w:rsidP="009D68C2">
      <w:pPr>
        <w:ind w:left="4248" w:firstLine="708"/>
      </w:pPr>
      <w:r w:rsidRPr="009D68C2">
        <w:t>Wójt Gminy Jednorożec</w:t>
      </w:r>
    </w:p>
    <w:p w14:paraId="6ACD73A9" w14:textId="77777777" w:rsidR="009D68C2" w:rsidRPr="009D68C2" w:rsidRDefault="009D68C2" w:rsidP="009D68C2">
      <w:pPr>
        <w:ind w:left="4248" w:firstLine="708"/>
      </w:pPr>
      <w:r w:rsidRPr="009D68C2">
        <w:t xml:space="preserve">/-/ Krzysztof Andrzej </w:t>
      </w:r>
      <w:proofErr w:type="spellStart"/>
      <w:r w:rsidRPr="009D68C2">
        <w:t>Iwulski</w:t>
      </w:r>
      <w:proofErr w:type="spellEnd"/>
    </w:p>
    <w:p w14:paraId="4921A52E" w14:textId="77777777" w:rsidR="00996B4D" w:rsidRDefault="00996B4D"/>
    <w:sectPr w:rsidR="00996B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EE"/>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4642B"/>
    <w:multiLevelType w:val="hybridMultilevel"/>
    <w:tmpl w:val="2DDA6EE4"/>
    <w:lvl w:ilvl="0" w:tplc="04150001">
      <w:start w:val="1"/>
      <w:numFmt w:val="bullet"/>
      <w:lvlText w:val=""/>
      <w:lvlJc w:val="left"/>
      <w:pPr>
        <w:tabs>
          <w:tab w:val="num" w:pos="1080"/>
        </w:tabs>
        <w:ind w:left="1080" w:hanging="360"/>
      </w:pPr>
      <w:rPr>
        <w:rFonts w:ascii="Symbol" w:hAnsi="Symbol" w:hint="default"/>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start w:val="1"/>
      <w:numFmt w:val="bullet"/>
      <w:lvlText w:val=""/>
      <w:lvlJc w:val="left"/>
      <w:pPr>
        <w:tabs>
          <w:tab w:val="num" w:pos="2520"/>
        </w:tabs>
        <w:ind w:left="2520" w:hanging="360"/>
      </w:pPr>
      <w:rPr>
        <w:rFonts w:ascii="Wingdings" w:hAnsi="Wingdings" w:hint="default"/>
      </w:rPr>
    </w:lvl>
    <w:lvl w:ilvl="3" w:tplc="04150001">
      <w:start w:val="1"/>
      <w:numFmt w:val="bullet"/>
      <w:lvlText w:val=""/>
      <w:lvlJc w:val="left"/>
      <w:pPr>
        <w:tabs>
          <w:tab w:val="num" w:pos="3240"/>
        </w:tabs>
        <w:ind w:left="3240" w:hanging="360"/>
      </w:pPr>
      <w:rPr>
        <w:rFonts w:ascii="Symbol" w:hAnsi="Symbol" w:hint="default"/>
      </w:rPr>
    </w:lvl>
    <w:lvl w:ilvl="4" w:tplc="04150003">
      <w:start w:val="1"/>
      <w:numFmt w:val="bullet"/>
      <w:lvlText w:val="o"/>
      <w:lvlJc w:val="left"/>
      <w:pPr>
        <w:tabs>
          <w:tab w:val="num" w:pos="3960"/>
        </w:tabs>
        <w:ind w:left="3960" w:hanging="360"/>
      </w:pPr>
      <w:rPr>
        <w:rFonts w:ascii="Courier New" w:hAnsi="Courier New" w:cs="Courier New" w:hint="default"/>
      </w:rPr>
    </w:lvl>
    <w:lvl w:ilvl="5" w:tplc="04150005">
      <w:start w:val="1"/>
      <w:numFmt w:val="bullet"/>
      <w:lvlText w:val=""/>
      <w:lvlJc w:val="left"/>
      <w:pPr>
        <w:tabs>
          <w:tab w:val="num" w:pos="4680"/>
        </w:tabs>
        <w:ind w:left="4680" w:hanging="360"/>
      </w:pPr>
      <w:rPr>
        <w:rFonts w:ascii="Wingdings" w:hAnsi="Wingdings" w:hint="default"/>
      </w:rPr>
    </w:lvl>
    <w:lvl w:ilvl="6" w:tplc="04150001">
      <w:start w:val="1"/>
      <w:numFmt w:val="bullet"/>
      <w:lvlText w:val=""/>
      <w:lvlJc w:val="left"/>
      <w:pPr>
        <w:tabs>
          <w:tab w:val="num" w:pos="5400"/>
        </w:tabs>
        <w:ind w:left="5400" w:hanging="360"/>
      </w:pPr>
      <w:rPr>
        <w:rFonts w:ascii="Symbol" w:hAnsi="Symbol" w:hint="default"/>
      </w:rPr>
    </w:lvl>
    <w:lvl w:ilvl="7" w:tplc="04150003">
      <w:start w:val="1"/>
      <w:numFmt w:val="bullet"/>
      <w:lvlText w:val="o"/>
      <w:lvlJc w:val="left"/>
      <w:pPr>
        <w:tabs>
          <w:tab w:val="num" w:pos="6120"/>
        </w:tabs>
        <w:ind w:left="6120" w:hanging="360"/>
      </w:pPr>
      <w:rPr>
        <w:rFonts w:ascii="Courier New" w:hAnsi="Courier New" w:cs="Courier New" w:hint="default"/>
      </w:rPr>
    </w:lvl>
    <w:lvl w:ilvl="8" w:tplc="04150005">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68820753"/>
    <w:multiLevelType w:val="multilevel"/>
    <w:tmpl w:val="42481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78077487">
    <w:abstractNumId w:val="1"/>
  </w:num>
  <w:num w:numId="2" w16cid:durableId="1519737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BE8"/>
    <w:rsid w:val="006B5E6F"/>
    <w:rsid w:val="009134F5"/>
    <w:rsid w:val="0093173F"/>
    <w:rsid w:val="00996B4D"/>
    <w:rsid w:val="009D68C2"/>
    <w:rsid w:val="00CA3BE8"/>
    <w:rsid w:val="00D006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1A0DF"/>
  <w15:chartTrackingRefBased/>
  <w15:docId w15:val="{2E4ADDFF-485A-458D-B973-523769FF8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B5E6F"/>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uiPriority w:val="9"/>
    <w:qFormat/>
    <w:rsid w:val="00CA3BE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gwek2">
    <w:name w:val="heading 2"/>
    <w:basedOn w:val="Normalny"/>
    <w:next w:val="Normalny"/>
    <w:link w:val="Nagwek2Znak"/>
    <w:semiHidden/>
    <w:unhideWhenUsed/>
    <w:qFormat/>
    <w:rsid w:val="00CA3BE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CA3BE8"/>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CA3BE8"/>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Nagwek5">
    <w:name w:val="heading 5"/>
    <w:basedOn w:val="Normalny"/>
    <w:next w:val="Normalny"/>
    <w:link w:val="Nagwek5Znak"/>
    <w:uiPriority w:val="9"/>
    <w:semiHidden/>
    <w:unhideWhenUsed/>
    <w:qFormat/>
    <w:rsid w:val="00CA3BE8"/>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Nagwek6">
    <w:name w:val="heading 6"/>
    <w:basedOn w:val="Normalny"/>
    <w:next w:val="Normalny"/>
    <w:link w:val="Nagwek6Znak"/>
    <w:semiHidden/>
    <w:unhideWhenUsed/>
    <w:qFormat/>
    <w:rsid w:val="00CA3BE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gwek7">
    <w:name w:val="heading 7"/>
    <w:basedOn w:val="Normalny"/>
    <w:next w:val="Normalny"/>
    <w:link w:val="Nagwek7Znak"/>
    <w:uiPriority w:val="9"/>
    <w:semiHidden/>
    <w:unhideWhenUsed/>
    <w:qFormat/>
    <w:rsid w:val="00CA3BE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gwek8">
    <w:name w:val="heading 8"/>
    <w:basedOn w:val="Normalny"/>
    <w:next w:val="Normalny"/>
    <w:link w:val="Nagwek8Znak"/>
    <w:uiPriority w:val="9"/>
    <w:semiHidden/>
    <w:unhideWhenUsed/>
    <w:qFormat/>
    <w:rsid w:val="00CA3BE8"/>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gwek9">
    <w:name w:val="heading 9"/>
    <w:basedOn w:val="Normalny"/>
    <w:next w:val="Normalny"/>
    <w:link w:val="Nagwek9Znak"/>
    <w:uiPriority w:val="9"/>
    <w:semiHidden/>
    <w:unhideWhenUsed/>
    <w:qFormat/>
    <w:rsid w:val="00CA3BE8"/>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A3BE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semiHidden/>
    <w:rsid w:val="00CA3BE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A3BE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A3BE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A3BE8"/>
    <w:rPr>
      <w:rFonts w:eastAsiaTheme="majorEastAsia" w:cstheme="majorBidi"/>
      <w:color w:val="0F4761" w:themeColor="accent1" w:themeShade="BF"/>
    </w:rPr>
  </w:style>
  <w:style w:type="character" w:customStyle="1" w:styleId="Nagwek6Znak">
    <w:name w:val="Nagłówek 6 Znak"/>
    <w:basedOn w:val="Domylnaczcionkaakapitu"/>
    <w:link w:val="Nagwek6"/>
    <w:semiHidden/>
    <w:rsid w:val="00CA3BE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A3BE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A3BE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A3BE8"/>
    <w:rPr>
      <w:rFonts w:eastAsiaTheme="majorEastAsia" w:cstheme="majorBidi"/>
      <w:color w:val="272727" w:themeColor="text1" w:themeTint="D8"/>
    </w:rPr>
  </w:style>
  <w:style w:type="paragraph" w:styleId="Tytu">
    <w:name w:val="Title"/>
    <w:basedOn w:val="Normalny"/>
    <w:next w:val="Normalny"/>
    <w:link w:val="TytuZnak"/>
    <w:uiPriority w:val="10"/>
    <w:qFormat/>
    <w:rsid w:val="00CA3BE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CA3BE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A3BE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CA3BE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A3BE8"/>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ytatZnak">
    <w:name w:val="Cytat Znak"/>
    <w:basedOn w:val="Domylnaczcionkaakapitu"/>
    <w:link w:val="Cytat"/>
    <w:uiPriority w:val="29"/>
    <w:rsid w:val="00CA3BE8"/>
    <w:rPr>
      <w:i/>
      <w:iCs/>
      <w:color w:val="404040" w:themeColor="text1" w:themeTint="BF"/>
    </w:rPr>
  </w:style>
  <w:style w:type="paragraph" w:styleId="Akapitzlist">
    <w:name w:val="List Paragraph"/>
    <w:basedOn w:val="Normalny"/>
    <w:uiPriority w:val="34"/>
    <w:qFormat/>
    <w:rsid w:val="00CA3BE8"/>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Wyrnienieintensywne">
    <w:name w:val="Intense Emphasis"/>
    <w:basedOn w:val="Domylnaczcionkaakapitu"/>
    <w:uiPriority w:val="21"/>
    <w:qFormat/>
    <w:rsid w:val="00CA3BE8"/>
    <w:rPr>
      <w:i/>
      <w:iCs/>
      <w:color w:val="0F4761" w:themeColor="accent1" w:themeShade="BF"/>
    </w:rPr>
  </w:style>
  <w:style w:type="paragraph" w:styleId="Cytatintensywny">
    <w:name w:val="Intense Quote"/>
    <w:basedOn w:val="Normalny"/>
    <w:next w:val="Normalny"/>
    <w:link w:val="CytatintensywnyZnak"/>
    <w:uiPriority w:val="30"/>
    <w:qFormat/>
    <w:rsid w:val="00CA3BE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CytatintensywnyZnak">
    <w:name w:val="Cytat intensywny Znak"/>
    <w:basedOn w:val="Domylnaczcionkaakapitu"/>
    <w:link w:val="Cytatintensywny"/>
    <w:uiPriority w:val="30"/>
    <w:rsid w:val="00CA3BE8"/>
    <w:rPr>
      <w:i/>
      <w:iCs/>
      <w:color w:val="0F4761" w:themeColor="accent1" w:themeShade="BF"/>
    </w:rPr>
  </w:style>
  <w:style w:type="character" w:styleId="Odwoanieintensywne">
    <w:name w:val="Intense Reference"/>
    <w:basedOn w:val="Domylnaczcionkaakapitu"/>
    <w:uiPriority w:val="32"/>
    <w:qFormat/>
    <w:rsid w:val="00CA3BE8"/>
    <w:rPr>
      <w:b/>
      <w:bCs/>
      <w:smallCaps/>
      <w:color w:val="0F4761" w:themeColor="accent1" w:themeShade="BF"/>
      <w:spacing w:val="5"/>
    </w:rPr>
  </w:style>
  <w:style w:type="paragraph" w:styleId="NormalnyWeb">
    <w:name w:val="Normal (Web)"/>
    <w:basedOn w:val="Normalny"/>
    <w:uiPriority w:val="99"/>
    <w:semiHidden/>
    <w:unhideWhenUsed/>
    <w:rsid w:val="006B5E6F"/>
    <w:pPr>
      <w:spacing w:before="100" w:beforeAutospacing="1"/>
    </w:pPr>
  </w:style>
  <w:style w:type="paragraph" w:customStyle="1" w:styleId="western">
    <w:name w:val="western"/>
    <w:basedOn w:val="Normalny"/>
    <w:uiPriority w:val="99"/>
    <w:rsid w:val="006B5E6F"/>
    <w:pPr>
      <w:spacing w:before="100" w:beforeAutospacing="1"/>
    </w:pPr>
    <w:rPr>
      <w:sz w:val="28"/>
      <w:szCs w:val="28"/>
    </w:rPr>
  </w:style>
  <w:style w:type="paragraph" w:customStyle="1" w:styleId="Standard">
    <w:name w:val="Standard"/>
    <w:uiPriority w:val="99"/>
    <w:rsid w:val="006B5E6F"/>
    <w:pPr>
      <w:widowControl w:val="0"/>
      <w:suppressAutoHyphens/>
      <w:autoSpaceDN w:val="0"/>
      <w:spacing w:after="0" w:line="240" w:lineRule="auto"/>
    </w:pPr>
    <w:rPr>
      <w:rFonts w:ascii="Liberation Serif" w:eastAsia="SimSun" w:hAnsi="Liberation Serif" w:cs="Mangal"/>
      <w:kern w:val="3"/>
      <w:sz w:val="24"/>
      <w:szCs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1038</Words>
  <Characters>6232</Characters>
  <Application>Microsoft Office Word</Application>
  <DocSecurity>0</DocSecurity>
  <Lines>51</Lines>
  <Paragraphs>14</Paragraphs>
  <ScaleCrop>false</ScaleCrop>
  <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Kucińska</dc:creator>
  <cp:keywords/>
  <dc:description/>
  <cp:lastModifiedBy>Magdalena Kucińska</cp:lastModifiedBy>
  <cp:revision>5</cp:revision>
  <dcterms:created xsi:type="dcterms:W3CDTF">2026-07-14T09:20:00Z</dcterms:created>
  <dcterms:modified xsi:type="dcterms:W3CDTF">2026-07-14T09:24:00Z</dcterms:modified>
</cp:coreProperties>
</file>